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D9A1" w14:textId="77777777" w:rsidR="009C16CD" w:rsidRPr="000E3680" w:rsidRDefault="009C16CD" w:rsidP="002607B5">
      <w:pPr>
        <w:spacing w:after="0" w:line="240" w:lineRule="auto"/>
        <w:ind w:right="11"/>
        <w:jc w:val="center"/>
        <w:rPr>
          <w:noProof/>
          <w:sz w:val="24"/>
          <w:szCs w:val="24"/>
          <w:lang w:val="en-US"/>
        </w:rPr>
      </w:pPr>
      <w:bookmarkStart w:id="0" w:name="OLE_LINK1"/>
      <w:bookmarkStart w:id="1" w:name="OLE_LINK2"/>
    </w:p>
    <w:p w14:paraId="7738E0D3" w14:textId="77777777" w:rsidR="006F45F4" w:rsidRDefault="006F45F4" w:rsidP="002607B5">
      <w:pPr>
        <w:pStyle w:val="NoSpacing"/>
        <w:jc w:val="center"/>
        <w:rPr>
          <w:rFonts w:ascii="Cambria" w:eastAsia="Calibri" w:hAnsi="Cambria"/>
          <w:b/>
          <w:noProof/>
          <w:sz w:val="32"/>
          <w:szCs w:val="32"/>
          <w:lang w:val="es-419"/>
        </w:rPr>
      </w:pPr>
    </w:p>
    <w:p w14:paraId="2E714439" w14:textId="77777777" w:rsidR="00F56900" w:rsidRDefault="00F56900" w:rsidP="002607B5">
      <w:pPr>
        <w:pStyle w:val="NoSpacing"/>
        <w:jc w:val="center"/>
        <w:rPr>
          <w:rFonts w:ascii="Cambria" w:eastAsia="Calibri" w:hAnsi="Cambria"/>
          <w:b/>
          <w:noProof/>
          <w:sz w:val="32"/>
          <w:szCs w:val="32"/>
          <w:lang w:val="es-419"/>
        </w:rPr>
      </w:pPr>
    </w:p>
    <w:p w14:paraId="77C8DBC3" w14:textId="75657396" w:rsidR="009C16CD" w:rsidRPr="009C16CD" w:rsidRDefault="00F56900" w:rsidP="002607B5">
      <w:pPr>
        <w:pStyle w:val="NoSpacing"/>
        <w:jc w:val="center"/>
        <w:rPr>
          <w:rFonts w:ascii="Cambria" w:eastAsia="Calibri" w:hAnsi="Cambria"/>
          <w:b/>
          <w:noProof/>
          <w:sz w:val="32"/>
          <w:szCs w:val="32"/>
          <w:lang w:val="es-419"/>
        </w:rPr>
      </w:pPr>
      <w:r>
        <w:rPr>
          <w:rFonts w:ascii="Cambria" w:eastAsia="Calibri" w:hAnsi="Cambria"/>
          <w:b/>
          <w:noProof/>
          <w:sz w:val="32"/>
          <w:szCs w:val="32"/>
          <w:lang w:val="es-419"/>
        </w:rPr>
        <w:t>1</w:t>
      </w:r>
      <w:r w:rsidRPr="00F56900">
        <w:rPr>
          <w:rFonts w:ascii="Cambria" w:eastAsia="Calibri" w:hAnsi="Cambria"/>
          <w:b/>
          <w:noProof/>
          <w:sz w:val="32"/>
          <w:szCs w:val="32"/>
          <w:vertAlign w:val="superscript"/>
          <w:lang w:val="es-419"/>
        </w:rPr>
        <w:t>er</w:t>
      </w:r>
      <w:r>
        <w:rPr>
          <w:rFonts w:ascii="Cambria" w:eastAsia="Calibri" w:hAnsi="Cambria"/>
          <w:b/>
          <w:noProof/>
          <w:sz w:val="32"/>
          <w:szCs w:val="32"/>
          <w:lang w:val="es-419"/>
        </w:rPr>
        <w:t xml:space="preserve"> </w:t>
      </w:r>
      <w:r w:rsidR="009C16CD" w:rsidRPr="009C16CD">
        <w:rPr>
          <w:rFonts w:ascii="Cambria" w:eastAsia="Calibri" w:hAnsi="Cambria"/>
          <w:b/>
          <w:noProof/>
          <w:sz w:val="32"/>
          <w:szCs w:val="32"/>
          <w:lang w:val="es-419"/>
        </w:rPr>
        <w:t xml:space="preserve">Diálogo Hemisférico para avanzar en la </w:t>
      </w:r>
      <w:r w:rsidR="00AC7AC3">
        <w:rPr>
          <w:rFonts w:ascii="Cambria" w:eastAsia="Calibri" w:hAnsi="Cambria"/>
          <w:b/>
          <w:noProof/>
          <w:sz w:val="32"/>
          <w:szCs w:val="32"/>
          <w:lang w:val="es-419"/>
        </w:rPr>
        <w:t>Institucional</w:t>
      </w:r>
      <w:r w:rsidR="009C16CD">
        <w:rPr>
          <w:rFonts w:ascii="Cambria" w:eastAsia="Calibri" w:hAnsi="Cambria"/>
          <w:b/>
          <w:noProof/>
          <w:sz w:val="32"/>
          <w:szCs w:val="32"/>
          <w:lang w:val="es-419"/>
        </w:rPr>
        <w:t>i</w:t>
      </w:r>
      <w:r w:rsidR="00AC7AC3">
        <w:rPr>
          <w:rFonts w:ascii="Cambria" w:eastAsia="Calibri" w:hAnsi="Cambria"/>
          <w:b/>
          <w:noProof/>
          <w:sz w:val="32"/>
          <w:szCs w:val="32"/>
          <w:lang w:val="es-419"/>
        </w:rPr>
        <w:t>z</w:t>
      </w:r>
      <w:r w:rsidR="009C16CD">
        <w:rPr>
          <w:rFonts w:ascii="Cambria" w:eastAsia="Calibri" w:hAnsi="Cambria"/>
          <w:b/>
          <w:noProof/>
          <w:sz w:val="32"/>
          <w:szCs w:val="32"/>
          <w:lang w:val="es-419"/>
        </w:rPr>
        <w:t xml:space="preserve">ación de Género en los Ministerios de Trabajo </w:t>
      </w:r>
    </w:p>
    <w:p w14:paraId="6FA3C5B7" w14:textId="4F035366" w:rsidR="009C16CD" w:rsidRDefault="009C16CD" w:rsidP="002607B5">
      <w:pPr>
        <w:pStyle w:val="NoSpacing"/>
        <w:jc w:val="center"/>
        <w:rPr>
          <w:rFonts w:eastAsia="Calibri"/>
          <w:noProof/>
          <w:sz w:val="24"/>
          <w:szCs w:val="24"/>
          <w:lang w:val="es-419"/>
        </w:rPr>
      </w:pPr>
    </w:p>
    <w:p w14:paraId="4DA35249" w14:textId="5C8A8E23" w:rsidR="0039153F" w:rsidRPr="0039153F" w:rsidRDefault="0039153F" w:rsidP="002607B5">
      <w:pPr>
        <w:pStyle w:val="NoSpacing"/>
        <w:jc w:val="center"/>
        <w:rPr>
          <w:rFonts w:ascii="Cambria" w:eastAsia="Calibri" w:hAnsi="Cambria"/>
          <w:b/>
          <w:noProof/>
          <w:sz w:val="28"/>
          <w:szCs w:val="28"/>
          <w:lang w:val="es-419"/>
        </w:rPr>
      </w:pPr>
      <w:r w:rsidRPr="0039153F">
        <w:rPr>
          <w:rFonts w:ascii="Cambria" w:eastAsia="Calibri" w:hAnsi="Cambria"/>
          <w:b/>
          <w:noProof/>
          <w:sz w:val="28"/>
          <w:szCs w:val="28"/>
          <w:lang w:val="es-419"/>
        </w:rPr>
        <w:t>PRINCIPALES RESULTADOS Y PASOS A SEGUIR</w:t>
      </w:r>
    </w:p>
    <w:p w14:paraId="4A7BC089" w14:textId="77777777" w:rsidR="0039153F" w:rsidRPr="009C16CD" w:rsidRDefault="0039153F" w:rsidP="002607B5">
      <w:pPr>
        <w:pStyle w:val="NoSpacing"/>
        <w:jc w:val="center"/>
        <w:rPr>
          <w:rFonts w:eastAsia="Calibri"/>
          <w:noProof/>
          <w:sz w:val="24"/>
          <w:szCs w:val="24"/>
          <w:lang w:val="es-419"/>
        </w:rPr>
      </w:pPr>
    </w:p>
    <w:p w14:paraId="777EE579" w14:textId="7E1DF76C" w:rsidR="009C16CD" w:rsidRDefault="009C16CD" w:rsidP="002607B5">
      <w:pPr>
        <w:pStyle w:val="NoSpacing"/>
        <w:jc w:val="center"/>
        <w:rPr>
          <w:lang w:val="es-419"/>
        </w:rPr>
      </w:pPr>
      <w:r w:rsidRPr="00ED348B">
        <w:rPr>
          <w:rFonts w:eastAsia="Calibri"/>
          <w:sz w:val="16"/>
          <w:szCs w:val="16"/>
          <w:lang w:val="es-419"/>
        </w:rPr>
        <w:t xml:space="preserve">   </w:t>
      </w:r>
      <w:bookmarkEnd w:id="0"/>
      <w:bookmarkEnd w:id="1"/>
      <w:r w:rsidRPr="00ED348B">
        <w:rPr>
          <w:lang w:val="es-419"/>
        </w:rPr>
        <w:t xml:space="preserve">Noviembre 20, 2020 </w:t>
      </w:r>
      <w:r w:rsidR="00B92688">
        <w:rPr>
          <w:lang w:val="es-419"/>
        </w:rPr>
        <w:t>- Virtual</w:t>
      </w:r>
    </w:p>
    <w:p w14:paraId="476DF3AD" w14:textId="36821E8E" w:rsidR="006F45F4" w:rsidRPr="0039153F" w:rsidRDefault="006F45F4" w:rsidP="002607B5">
      <w:pPr>
        <w:pStyle w:val="NoSpacing"/>
        <w:jc w:val="center"/>
        <w:rPr>
          <w:i/>
          <w:color w:val="0070C0"/>
          <w:lang w:val="es-419"/>
        </w:rPr>
      </w:pPr>
    </w:p>
    <w:p w14:paraId="0F6477E6" w14:textId="77777777" w:rsidR="0039153F" w:rsidRDefault="0039153F" w:rsidP="002607B5">
      <w:pPr>
        <w:pStyle w:val="NoSpacing"/>
        <w:jc w:val="center"/>
        <w:rPr>
          <w:lang w:val="es-419"/>
        </w:rPr>
      </w:pPr>
    </w:p>
    <w:p w14:paraId="1FA17444" w14:textId="3D84963E" w:rsidR="005B5682" w:rsidRDefault="005B5682" w:rsidP="002607B5">
      <w:pPr>
        <w:spacing w:after="0" w:line="240" w:lineRule="auto"/>
        <w:ind w:right="14"/>
        <w:jc w:val="both"/>
        <w:rPr>
          <w:rFonts w:cs="Tahoma"/>
          <w:b/>
          <w:lang w:val="es-419"/>
        </w:rPr>
      </w:pPr>
    </w:p>
    <w:p w14:paraId="134071FE" w14:textId="10B6C72A" w:rsidR="00693AA0" w:rsidRPr="00DE134A" w:rsidRDefault="0039153F" w:rsidP="002607B5">
      <w:pPr>
        <w:spacing w:after="0" w:line="240" w:lineRule="auto"/>
        <w:ind w:right="14"/>
        <w:jc w:val="both"/>
        <w:rPr>
          <w:rFonts w:cs="Tahoma"/>
          <w:b/>
          <w:lang w:val="es-419"/>
        </w:rPr>
      </w:pPr>
      <w:r w:rsidRPr="00DE134A">
        <w:rPr>
          <w:rFonts w:cs="Tahoma"/>
          <w:b/>
          <w:lang w:val="es-419"/>
        </w:rPr>
        <w:t>Principales resultados:</w:t>
      </w:r>
    </w:p>
    <w:p w14:paraId="5BEE96C6" w14:textId="2A2E7AE2" w:rsidR="009C16CD" w:rsidRPr="00DE134A" w:rsidRDefault="009C16CD" w:rsidP="002607B5">
      <w:pPr>
        <w:spacing w:after="0" w:line="240" w:lineRule="auto"/>
        <w:ind w:right="14"/>
        <w:jc w:val="both"/>
        <w:rPr>
          <w:rFonts w:cs="Tahoma"/>
          <w:b/>
          <w:lang w:val="es-419"/>
        </w:rPr>
      </w:pPr>
    </w:p>
    <w:p w14:paraId="6B1B23FC" w14:textId="0FBBDF46" w:rsidR="009C16CD" w:rsidRPr="00DE134A" w:rsidRDefault="00693AA0" w:rsidP="002607B5">
      <w:pPr>
        <w:numPr>
          <w:ilvl w:val="1"/>
          <w:numId w:val="3"/>
        </w:numPr>
        <w:tabs>
          <w:tab w:val="clear" w:pos="1440"/>
          <w:tab w:val="left" w:pos="720"/>
          <w:tab w:val="left" w:pos="2160"/>
          <w:tab w:val="left" w:pos="2880"/>
        </w:tabs>
        <w:spacing w:after="0" w:line="240" w:lineRule="auto"/>
        <w:ind w:left="720" w:right="547"/>
        <w:jc w:val="both"/>
        <w:rPr>
          <w:lang w:val="es-419"/>
        </w:rPr>
      </w:pPr>
      <w:r w:rsidRPr="00DE134A">
        <w:rPr>
          <w:lang w:val="es-419"/>
        </w:rPr>
        <w:t xml:space="preserve">Excelente y muy relevante nivel participación con delegaciones de </w:t>
      </w:r>
      <w:r w:rsidR="001C22BC" w:rsidRPr="00DE134A">
        <w:rPr>
          <w:lang w:val="es-419"/>
        </w:rPr>
        <w:t xml:space="preserve">30 gobiernos </w:t>
      </w:r>
      <w:r w:rsidRPr="00DE134A">
        <w:rPr>
          <w:lang w:val="es-419"/>
        </w:rPr>
        <w:t>de las Américas, representados por las Directoras(es) y responsables de las unidades o áreas de género</w:t>
      </w:r>
      <w:r w:rsidR="001C22BC" w:rsidRPr="00DE134A">
        <w:rPr>
          <w:lang w:val="es-419"/>
        </w:rPr>
        <w:t xml:space="preserve"> de Ministerios de Trabajo</w:t>
      </w:r>
      <w:r w:rsidR="009C16CD" w:rsidRPr="00DE134A">
        <w:rPr>
          <w:lang w:val="es-419"/>
        </w:rPr>
        <w:t xml:space="preserve">. </w:t>
      </w:r>
      <w:r w:rsidRPr="00DE134A">
        <w:rPr>
          <w:lang w:val="es-419"/>
        </w:rPr>
        <w:t xml:space="preserve"> Algunas delegaciones estuvieron acompañadas por las Misiones Permanentes de sus países ante la OEA.</w:t>
      </w:r>
    </w:p>
    <w:p w14:paraId="0747CE01" w14:textId="0F06D20F" w:rsidR="00693AA0" w:rsidRPr="00DE134A" w:rsidRDefault="00693AA0" w:rsidP="002607B5">
      <w:pPr>
        <w:tabs>
          <w:tab w:val="left" w:pos="2160"/>
          <w:tab w:val="left" w:pos="2880"/>
        </w:tabs>
        <w:spacing w:after="0" w:line="240" w:lineRule="auto"/>
        <w:ind w:left="720" w:right="547"/>
        <w:jc w:val="both"/>
        <w:rPr>
          <w:lang w:val="es-419"/>
        </w:rPr>
      </w:pPr>
    </w:p>
    <w:p w14:paraId="584871EC" w14:textId="646263C9" w:rsidR="002607B5" w:rsidRPr="00DE134A" w:rsidRDefault="002607B5" w:rsidP="002607B5">
      <w:pPr>
        <w:numPr>
          <w:ilvl w:val="1"/>
          <w:numId w:val="3"/>
        </w:numPr>
        <w:tabs>
          <w:tab w:val="clear" w:pos="1440"/>
          <w:tab w:val="left" w:pos="720"/>
          <w:tab w:val="left" w:pos="2160"/>
          <w:tab w:val="left" w:pos="2880"/>
        </w:tabs>
        <w:spacing w:after="0" w:line="240" w:lineRule="auto"/>
        <w:ind w:left="720" w:right="547"/>
        <w:jc w:val="both"/>
        <w:rPr>
          <w:lang w:val="es-419"/>
        </w:rPr>
      </w:pPr>
      <w:r w:rsidRPr="00DE134A">
        <w:rPr>
          <w:lang w:val="es-419"/>
        </w:rPr>
        <w:t xml:space="preserve">Recuento y verificación, por parte de todas las delegaciones, de la </w:t>
      </w:r>
      <w:r w:rsidR="00693AA0" w:rsidRPr="00DE134A">
        <w:rPr>
          <w:lang w:val="es-419"/>
        </w:rPr>
        <w:t xml:space="preserve">difícil situación de las mujeres en el mercado de trabajo, cuyos niveles de desempleo, inactividad e informalidad se han acentuado a raíz de la </w:t>
      </w:r>
      <w:r w:rsidRPr="00DE134A">
        <w:rPr>
          <w:lang w:val="es-419"/>
        </w:rPr>
        <w:t>pandemia de C</w:t>
      </w:r>
      <w:r w:rsidR="007B0133">
        <w:rPr>
          <w:lang w:val="es-419"/>
        </w:rPr>
        <w:t>OVID</w:t>
      </w:r>
      <w:r w:rsidRPr="00DE134A">
        <w:rPr>
          <w:lang w:val="es-419"/>
        </w:rPr>
        <w:t>-19. Las delegadas coincidieron en su preocupación ante la profundización de brechas de género a lo largo de la región.</w:t>
      </w:r>
    </w:p>
    <w:p w14:paraId="7377A72F" w14:textId="77777777" w:rsidR="00742127" w:rsidRPr="00DE134A" w:rsidRDefault="00742127" w:rsidP="002607B5">
      <w:pPr>
        <w:pStyle w:val="ListParagraph"/>
        <w:spacing w:after="0" w:line="240" w:lineRule="auto"/>
        <w:rPr>
          <w:lang w:val="es-419"/>
        </w:rPr>
      </w:pPr>
    </w:p>
    <w:p w14:paraId="283CD211" w14:textId="2F006ACA" w:rsidR="00D8102A" w:rsidRPr="00DE134A" w:rsidRDefault="002607B5" w:rsidP="00D8102A">
      <w:pPr>
        <w:numPr>
          <w:ilvl w:val="1"/>
          <w:numId w:val="3"/>
        </w:numPr>
        <w:tabs>
          <w:tab w:val="clear" w:pos="1440"/>
          <w:tab w:val="left" w:pos="720"/>
          <w:tab w:val="left" w:pos="2160"/>
          <w:tab w:val="left" w:pos="2880"/>
        </w:tabs>
        <w:spacing w:after="0" w:line="240" w:lineRule="auto"/>
        <w:ind w:left="720" w:right="547"/>
        <w:jc w:val="both"/>
        <w:rPr>
          <w:lang w:val="es-419"/>
        </w:rPr>
      </w:pPr>
      <w:r w:rsidRPr="00DE134A">
        <w:rPr>
          <w:lang w:val="es-419"/>
        </w:rPr>
        <w:t>Constatación de avances positivos en materia de institucionalización de género en los Ministerios de Trabajo y del rol de las unidades/áreas de género en la respuesta a la crisis generada por C</w:t>
      </w:r>
      <w:r w:rsidR="007B0133">
        <w:rPr>
          <w:lang w:val="es-419"/>
        </w:rPr>
        <w:t>OVID</w:t>
      </w:r>
      <w:r w:rsidRPr="00DE134A">
        <w:rPr>
          <w:lang w:val="es-419"/>
        </w:rPr>
        <w:t xml:space="preserve">-19, según </w:t>
      </w:r>
      <w:r w:rsidR="00285F0D" w:rsidRPr="00DE134A">
        <w:rPr>
          <w:lang w:val="es-419"/>
        </w:rPr>
        <w:t>intervenciones durante el intercambio y r</w:t>
      </w:r>
      <w:r w:rsidRPr="00DE134A">
        <w:rPr>
          <w:lang w:val="es-419"/>
        </w:rPr>
        <w:t xml:space="preserve">esultados de encuestas en vivo (ver documento </w:t>
      </w:r>
      <w:r w:rsidR="001C22BC" w:rsidRPr="00DE134A">
        <w:rPr>
          <w:lang w:val="es-419"/>
        </w:rPr>
        <w:t>al respecto</w:t>
      </w:r>
      <w:r w:rsidRPr="00DE134A">
        <w:rPr>
          <w:lang w:val="es-419"/>
        </w:rPr>
        <w:t xml:space="preserve">).   </w:t>
      </w:r>
      <w:r w:rsidR="00D8102A" w:rsidRPr="00DE134A">
        <w:rPr>
          <w:lang w:val="es-419"/>
        </w:rPr>
        <w:t>Reconocimiento de que el avance logrado debe protegerse y consolidarse, y de que la fusión de las unidades de género con áreas a cargo de diferentes segmentos de la población (entre ellas, poblaciones en situación de vulnerabilidad), podría debilitarlas.</w:t>
      </w:r>
      <w:r w:rsidR="00522D33" w:rsidRPr="00DE134A">
        <w:rPr>
          <w:lang w:val="es-419"/>
        </w:rPr>
        <w:t xml:space="preserve"> Se hizo referencia a la importancia de que las unidades de género t</w:t>
      </w:r>
      <w:r w:rsidR="007B0133">
        <w:rPr>
          <w:lang w:val="es-419"/>
        </w:rPr>
        <w:t>engan</w:t>
      </w:r>
      <w:r w:rsidR="00522D33" w:rsidRPr="00DE134A">
        <w:rPr>
          <w:lang w:val="es-419"/>
        </w:rPr>
        <w:t xml:space="preserve"> muy clara</w:t>
      </w:r>
      <w:r w:rsidR="00742127" w:rsidRPr="00DE134A">
        <w:rPr>
          <w:lang w:val="es-419"/>
        </w:rPr>
        <w:t>s</w:t>
      </w:r>
      <w:r w:rsidR="00522D33" w:rsidRPr="00DE134A">
        <w:rPr>
          <w:lang w:val="es-419"/>
        </w:rPr>
        <w:t xml:space="preserve"> sus funciones y misión</w:t>
      </w:r>
      <w:r w:rsidR="007B0133">
        <w:rPr>
          <w:lang w:val="es-419"/>
        </w:rPr>
        <w:t>.</w:t>
      </w:r>
    </w:p>
    <w:p w14:paraId="04276051" w14:textId="77777777" w:rsidR="00D8102A" w:rsidRPr="00DE134A" w:rsidRDefault="00D8102A" w:rsidP="00D8102A">
      <w:pPr>
        <w:tabs>
          <w:tab w:val="left" w:pos="2160"/>
          <w:tab w:val="left" w:pos="2880"/>
        </w:tabs>
        <w:spacing w:after="0" w:line="240" w:lineRule="auto"/>
        <w:ind w:left="720" w:right="547"/>
        <w:jc w:val="both"/>
        <w:rPr>
          <w:lang w:val="es-419"/>
        </w:rPr>
      </w:pPr>
    </w:p>
    <w:p w14:paraId="219602F6" w14:textId="262BC55A" w:rsidR="00F73165" w:rsidRPr="00DE134A" w:rsidRDefault="009C16CD" w:rsidP="000A779F">
      <w:pPr>
        <w:numPr>
          <w:ilvl w:val="1"/>
          <w:numId w:val="3"/>
        </w:numPr>
        <w:tabs>
          <w:tab w:val="clear" w:pos="1440"/>
          <w:tab w:val="left" w:pos="720"/>
          <w:tab w:val="left" w:pos="2160"/>
          <w:tab w:val="left" w:pos="2880"/>
        </w:tabs>
        <w:spacing w:after="0" w:line="240" w:lineRule="auto"/>
        <w:ind w:left="720" w:right="547"/>
        <w:jc w:val="both"/>
      </w:pPr>
      <w:r w:rsidRPr="00DE134A">
        <w:t xml:space="preserve">Presentación </w:t>
      </w:r>
      <w:r w:rsidR="00D8102A" w:rsidRPr="00DE134A">
        <w:t>de principales c</w:t>
      </w:r>
      <w:r w:rsidRPr="00DE134A">
        <w:t>onclusiones y recomendaciones del “Estudio sobre Institucionalización del Enfoque de Género en las Américas: Una actualización”</w:t>
      </w:r>
      <w:r w:rsidR="004658FF" w:rsidRPr="00DE134A">
        <w:t>, y com</w:t>
      </w:r>
      <w:r w:rsidR="00B00C0D" w:rsidRPr="00DE134A">
        <w:t xml:space="preserve">plemento a las </w:t>
      </w:r>
      <w:r w:rsidR="004658FF" w:rsidRPr="00DE134A">
        <w:t>recomendaciones</w:t>
      </w:r>
      <w:r w:rsidR="00B00C0D" w:rsidRPr="00DE134A">
        <w:t>, según los puntos a continuación</w:t>
      </w:r>
      <w:r w:rsidR="00F73165" w:rsidRPr="00DE134A">
        <w:t>.</w:t>
      </w:r>
    </w:p>
    <w:p w14:paraId="2BB58F81" w14:textId="77777777" w:rsidR="00285F0D" w:rsidRPr="00DE134A" w:rsidRDefault="00285F0D" w:rsidP="00285F0D">
      <w:pPr>
        <w:tabs>
          <w:tab w:val="left" w:pos="2160"/>
          <w:tab w:val="left" w:pos="2880"/>
        </w:tabs>
        <w:spacing w:after="0" w:line="240" w:lineRule="auto"/>
        <w:ind w:left="720" w:right="547"/>
        <w:jc w:val="both"/>
      </w:pPr>
    </w:p>
    <w:p w14:paraId="5DA587A1" w14:textId="47A26757" w:rsidR="00F73165" w:rsidRPr="00DE134A" w:rsidRDefault="00F73165" w:rsidP="00285F0D">
      <w:pPr>
        <w:numPr>
          <w:ilvl w:val="1"/>
          <w:numId w:val="3"/>
        </w:numPr>
        <w:tabs>
          <w:tab w:val="clear" w:pos="1440"/>
          <w:tab w:val="left" w:pos="720"/>
          <w:tab w:val="left" w:pos="2160"/>
          <w:tab w:val="left" w:pos="2880"/>
        </w:tabs>
        <w:spacing w:after="0" w:line="240" w:lineRule="auto"/>
        <w:ind w:left="720" w:right="547"/>
        <w:jc w:val="both"/>
      </w:pPr>
      <w:r w:rsidRPr="00DE134A">
        <w:t xml:space="preserve">Afirmación sobre el interés y la voluntad </w:t>
      </w:r>
      <w:r w:rsidR="00285F0D" w:rsidRPr="00DE134A">
        <w:t>de estrechar</w:t>
      </w:r>
      <w:r w:rsidRPr="00DE134A">
        <w:t xml:space="preserve"> la cooperación entre unidades/áreas de género, como una forma para fortalecer sus iniciativas y organización.   </w:t>
      </w:r>
    </w:p>
    <w:p w14:paraId="42E2F4ED" w14:textId="77777777" w:rsidR="006F45F4" w:rsidRPr="00DE134A" w:rsidRDefault="006F45F4" w:rsidP="006F45F4">
      <w:pPr>
        <w:tabs>
          <w:tab w:val="left" w:pos="2160"/>
          <w:tab w:val="left" w:pos="2880"/>
        </w:tabs>
        <w:spacing w:after="0" w:line="240" w:lineRule="auto"/>
        <w:ind w:left="720" w:right="547"/>
        <w:jc w:val="both"/>
      </w:pPr>
    </w:p>
    <w:p w14:paraId="2052F11F" w14:textId="58E0CB45" w:rsidR="004658FF" w:rsidRPr="00DE134A" w:rsidRDefault="004658FF" w:rsidP="000A779F">
      <w:pPr>
        <w:numPr>
          <w:ilvl w:val="1"/>
          <w:numId w:val="3"/>
        </w:numPr>
        <w:tabs>
          <w:tab w:val="clear" w:pos="1440"/>
          <w:tab w:val="left" w:pos="720"/>
          <w:tab w:val="left" w:pos="2160"/>
          <w:tab w:val="left" w:pos="2880"/>
        </w:tabs>
        <w:spacing w:after="0" w:line="240" w:lineRule="auto"/>
        <w:ind w:left="720" w:right="547"/>
        <w:jc w:val="both"/>
      </w:pPr>
      <w:r w:rsidRPr="00DE134A">
        <w:lastRenderedPageBreak/>
        <w:t xml:space="preserve">Identificación de temáticas de mucho interés </w:t>
      </w:r>
      <w:r w:rsidR="00F73165" w:rsidRPr="00DE134A">
        <w:t>para continuar cooperación y capacitación:</w:t>
      </w:r>
    </w:p>
    <w:p w14:paraId="5E8655B1" w14:textId="77777777" w:rsidR="00B00C0D" w:rsidRPr="00DE134A" w:rsidRDefault="00B00C0D" w:rsidP="00B00C0D">
      <w:pPr>
        <w:tabs>
          <w:tab w:val="left" w:pos="2160"/>
          <w:tab w:val="left" w:pos="2880"/>
        </w:tabs>
        <w:spacing w:after="0" w:line="240" w:lineRule="auto"/>
        <w:ind w:left="1440" w:right="547"/>
        <w:jc w:val="both"/>
      </w:pPr>
    </w:p>
    <w:p w14:paraId="55952042" w14:textId="4948EBF6" w:rsidR="00F73165" w:rsidRPr="00DE134A" w:rsidRDefault="00F73165" w:rsidP="00F73165">
      <w:pPr>
        <w:numPr>
          <w:ilvl w:val="1"/>
          <w:numId w:val="3"/>
        </w:numPr>
        <w:tabs>
          <w:tab w:val="left" w:pos="720"/>
          <w:tab w:val="left" w:pos="2160"/>
          <w:tab w:val="left" w:pos="2880"/>
        </w:tabs>
        <w:spacing w:after="0" w:line="240" w:lineRule="auto"/>
        <w:ind w:right="547"/>
        <w:jc w:val="both"/>
      </w:pPr>
      <w:r w:rsidRPr="00DE134A">
        <w:t>Trabajo doméstico y ratificación de Convenio 189 de OIT.</w:t>
      </w:r>
    </w:p>
    <w:p w14:paraId="3DF796D1" w14:textId="61FD690B" w:rsidR="00F73165" w:rsidRPr="00DE134A" w:rsidRDefault="00F73165" w:rsidP="00F73165">
      <w:pPr>
        <w:numPr>
          <w:ilvl w:val="1"/>
          <w:numId w:val="3"/>
        </w:numPr>
        <w:tabs>
          <w:tab w:val="left" w:pos="720"/>
          <w:tab w:val="left" w:pos="2160"/>
          <w:tab w:val="left" w:pos="2880"/>
        </w:tabs>
        <w:spacing w:after="0" w:line="240" w:lineRule="auto"/>
        <w:ind w:right="547"/>
        <w:jc w:val="both"/>
      </w:pPr>
      <w:r w:rsidRPr="00DE134A">
        <w:t>Sistemas de cuidado / corresponsabilidad</w:t>
      </w:r>
      <w:r w:rsidR="00285F0D" w:rsidRPr="00DE134A">
        <w:t xml:space="preserve"> de los cuidados.</w:t>
      </w:r>
      <w:r w:rsidR="00522D33" w:rsidRPr="00DE134A">
        <w:t xml:space="preserve"> Se hace la diferencia entre compartir los cuidados y la corresponsabilidad más amplia </w:t>
      </w:r>
      <w:r w:rsidR="00522D33" w:rsidRPr="00DE134A">
        <w:rPr>
          <w:i/>
          <w:iCs/>
        </w:rPr>
        <w:t>(estado, familia, sociedad civil</w:t>
      </w:r>
      <w:r w:rsidR="00522D33" w:rsidRPr="00DE134A">
        <w:t>)</w:t>
      </w:r>
    </w:p>
    <w:p w14:paraId="309E6883" w14:textId="09787134" w:rsidR="00F73165" w:rsidRPr="00DE134A" w:rsidRDefault="00F73165" w:rsidP="00F73165">
      <w:pPr>
        <w:numPr>
          <w:ilvl w:val="1"/>
          <w:numId w:val="3"/>
        </w:numPr>
        <w:tabs>
          <w:tab w:val="left" w:pos="720"/>
          <w:tab w:val="left" w:pos="2160"/>
          <w:tab w:val="left" w:pos="2880"/>
        </w:tabs>
        <w:spacing w:after="0" w:line="240" w:lineRule="auto"/>
        <w:ind w:right="547"/>
        <w:jc w:val="both"/>
      </w:pPr>
      <w:r w:rsidRPr="00DE134A">
        <w:t>Brecha salarial. Una de las formas de abordar este tema es con los sellos o distintivos para empresas comprometidas con la equidad de género</w:t>
      </w:r>
    </w:p>
    <w:p w14:paraId="6C9BA07E" w14:textId="6CDDEAFC" w:rsidR="00F73165" w:rsidRPr="00DE134A" w:rsidRDefault="00F73165" w:rsidP="00F73165">
      <w:pPr>
        <w:numPr>
          <w:ilvl w:val="1"/>
          <w:numId w:val="3"/>
        </w:numPr>
        <w:tabs>
          <w:tab w:val="left" w:pos="720"/>
          <w:tab w:val="left" w:pos="2160"/>
          <w:tab w:val="left" w:pos="2880"/>
        </w:tabs>
        <w:spacing w:after="0" w:line="240" w:lineRule="auto"/>
        <w:ind w:right="547"/>
        <w:jc w:val="both"/>
      </w:pPr>
      <w:r w:rsidRPr="00DE134A">
        <w:t>Estrategias de formalización</w:t>
      </w:r>
      <w:r w:rsidR="00F0252B" w:rsidRPr="00DE134A">
        <w:t xml:space="preserve">, reconocimiento y </w:t>
      </w:r>
      <w:r w:rsidRPr="00DE134A">
        <w:t>ampliación de cobertura de seguridad social para trabajo no remunerado</w:t>
      </w:r>
      <w:r w:rsidR="00F0252B" w:rsidRPr="00DE134A">
        <w:t xml:space="preserve"> </w:t>
      </w:r>
    </w:p>
    <w:p w14:paraId="352C3EA7" w14:textId="6A6143F8" w:rsidR="00522D33" w:rsidRPr="00DE134A" w:rsidRDefault="00F73165" w:rsidP="00522D33">
      <w:pPr>
        <w:numPr>
          <w:ilvl w:val="1"/>
          <w:numId w:val="3"/>
        </w:numPr>
        <w:tabs>
          <w:tab w:val="left" w:pos="720"/>
          <w:tab w:val="left" w:pos="2160"/>
          <w:tab w:val="left" w:pos="2880"/>
        </w:tabs>
        <w:spacing w:after="0" w:line="240" w:lineRule="auto"/>
        <w:ind w:right="547"/>
        <w:jc w:val="both"/>
        <w:rPr>
          <w:i/>
          <w:iCs/>
        </w:rPr>
      </w:pPr>
      <w:r w:rsidRPr="00DE134A">
        <w:t xml:space="preserve">Violencia </w:t>
      </w:r>
      <w:r w:rsidR="00285F0D" w:rsidRPr="00DE134A">
        <w:t xml:space="preserve">y acoso </w:t>
      </w:r>
      <w:r w:rsidRPr="00DE134A">
        <w:t>en el lugar de trabajo</w:t>
      </w:r>
      <w:r w:rsidR="00522D33" w:rsidRPr="00DE134A">
        <w:t>. Se mencionó la necesidad de ra</w:t>
      </w:r>
      <w:r w:rsidR="00742127" w:rsidRPr="00DE134A">
        <w:t xml:space="preserve">tificar el Convenio 190 de OIT. </w:t>
      </w:r>
      <w:r w:rsidR="00522D33" w:rsidRPr="00DE134A">
        <w:t xml:space="preserve"> </w:t>
      </w:r>
    </w:p>
    <w:p w14:paraId="30796FD7" w14:textId="2FACD728" w:rsidR="0039153F" w:rsidRPr="007B0133" w:rsidRDefault="0039153F" w:rsidP="00522D33">
      <w:pPr>
        <w:numPr>
          <w:ilvl w:val="1"/>
          <w:numId w:val="3"/>
        </w:numPr>
        <w:tabs>
          <w:tab w:val="left" w:pos="720"/>
          <w:tab w:val="left" w:pos="2160"/>
          <w:tab w:val="left" w:pos="2880"/>
        </w:tabs>
        <w:spacing w:after="0" w:line="240" w:lineRule="auto"/>
        <w:ind w:right="547"/>
        <w:jc w:val="both"/>
        <w:rPr>
          <w:i/>
          <w:iCs/>
        </w:rPr>
      </w:pPr>
      <w:r w:rsidRPr="00DE134A">
        <w:t>Teletrabajo y trabajo en casa con dimensión de género</w:t>
      </w:r>
    </w:p>
    <w:p w14:paraId="14C6D600" w14:textId="6C441236" w:rsidR="007B0133" w:rsidRPr="00DE134A" w:rsidRDefault="007B0133" w:rsidP="00522D33">
      <w:pPr>
        <w:numPr>
          <w:ilvl w:val="1"/>
          <w:numId w:val="3"/>
        </w:numPr>
        <w:tabs>
          <w:tab w:val="left" w:pos="720"/>
          <w:tab w:val="left" w:pos="2160"/>
          <w:tab w:val="left" w:pos="2880"/>
        </w:tabs>
        <w:spacing w:after="0" w:line="240" w:lineRule="auto"/>
        <w:ind w:right="547"/>
        <w:jc w:val="both"/>
        <w:rPr>
          <w:i/>
          <w:iCs/>
        </w:rPr>
      </w:pPr>
      <w:r>
        <w:t>Incremento de la vulnerabilidad y discriminación en el mercado de trabajo como efecto de la COVID-19 que enfrentan algunos grupos de mujeres, incluyendo mujeres con discapacidad, afro-descendientes, indígenas, y mujeres de áreas rurales.</w:t>
      </w:r>
    </w:p>
    <w:p w14:paraId="0ABF69A2" w14:textId="77777777" w:rsidR="007B0133" w:rsidRDefault="007B0133" w:rsidP="007B0133">
      <w:pPr>
        <w:tabs>
          <w:tab w:val="left" w:pos="2160"/>
          <w:tab w:val="left" w:pos="2880"/>
        </w:tabs>
        <w:spacing w:after="0" w:line="240" w:lineRule="auto"/>
        <w:ind w:left="720" w:right="547"/>
        <w:jc w:val="both"/>
      </w:pPr>
    </w:p>
    <w:p w14:paraId="33C387A6" w14:textId="59BEE0B5" w:rsidR="00B00C0D" w:rsidRPr="00DE134A" w:rsidRDefault="00B00C0D" w:rsidP="00B00C0D">
      <w:pPr>
        <w:numPr>
          <w:ilvl w:val="1"/>
          <w:numId w:val="3"/>
        </w:numPr>
        <w:tabs>
          <w:tab w:val="clear" w:pos="1440"/>
          <w:tab w:val="left" w:pos="720"/>
          <w:tab w:val="left" w:pos="2160"/>
          <w:tab w:val="left" w:pos="2880"/>
        </w:tabs>
        <w:spacing w:after="0" w:line="240" w:lineRule="auto"/>
        <w:ind w:left="720" w:right="547"/>
        <w:jc w:val="both"/>
      </w:pPr>
      <w:r w:rsidRPr="00DE134A">
        <w:t>Llamado a continuar apoyando el fortalecimiento institucional de las unidades/áreas de género; se mencionó como idea elaborar un Manual o AB</w:t>
      </w:r>
      <w:r w:rsidR="0042410A" w:rsidRPr="00DE134A">
        <w:t>C</w:t>
      </w:r>
      <w:r w:rsidR="00ED348B" w:rsidRPr="00DE134A">
        <w:t xml:space="preserve"> de las unidades de género, en donde se </w:t>
      </w:r>
      <w:r w:rsidR="006F45F4" w:rsidRPr="00DE134A">
        <w:t>especifiquen los objetivos y</w:t>
      </w:r>
      <w:r w:rsidR="00ED348B" w:rsidRPr="00DE134A">
        <w:t xml:space="preserve"> las funciones que debería tener una unidad/área de género. </w:t>
      </w:r>
    </w:p>
    <w:p w14:paraId="2F0C5EAC" w14:textId="77777777" w:rsidR="0042410A" w:rsidRPr="00DE134A" w:rsidRDefault="0042410A" w:rsidP="0042410A">
      <w:pPr>
        <w:tabs>
          <w:tab w:val="left" w:pos="2160"/>
          <w:tab w:val="left" w:pos="2880"/>
        </w:tabs>
        <w:spacing w:after="0" w:line="240" w:lineRule="auto"/>
        <w:ind w:left="720" w:right="547"/>
        <w:jc w:val="both"/>
      </w:pPr>
    </w:p>
    <w:p w14:paraId="5DFC4784" w14:textId="77777777" w:rsidR="00742127" w:rsidRPr="00DE134A" w:rsidRDefault="00B00C0D" w:rsidP="00742127">
      <w:pPr>
        <w:numPr>
          <w:ilvl w:val="1"/>
          <w:numId w:val="3"/>
        </w:numPr>
        <w:tabs>
          <w:tab w:val="clear" w:pos="1440"/>
          <w:tab w:val="left" w:pos="720"/>
          <w:tab w:val="left" w:pos="2160"/>
          <w:tab w:val="left" w:pos="2880"/>
        </w:tabs>
        <w:spacing w:after="0" w:line="240" w:lineRule="auto"/>
        <w:ind w:left="720" w:right="547"/>
        <w:jc w:val="both"/>
      </w:pPr>
      <w:r w:rsidRPr="00DE134A">
        <w:t>Los Mi</w:t>
      </w:r>
      <w:r w:rsidR="00181E08" w:rsidRPr="00DE134A">
        <w:t xml:space="preserve">nisterios de Trabajo del Caribe, en general, cuentan con puntos focales de género que reciben instrucciones de los Mecanismos Nacionales de la Mujer para lograr la transversalización de género.  Algunos Ministerios del Caribe están interesados en evaluar la creación de una unidad de género, para lo que requerirían de apoyo técnico. </w:t>
      </w:r>
    </w:p>
    <w:p w14:paraId="2DF76C25" w14:textId="77777777" w:rsidR="00742127" w:rsidRPr="00DE134A" w:rsidRDefault="00742127" w:rsidP="00742127">
      <w:pPr>
        <w:tabs>
          <w:tab w:val="left" w:pos="2160"/>
          <w:tab w:val="left" w:pos="2880"/>
        </w:tabs>
        <w:spacing w:after="0" w:line="240" w:lineRule="auto"/>
        <w:ind w:left="720" w:right="547"/>
        <w:jc w:val="both"/>
      </w:pPr>
    </w:p>
    <w:p w14:paraId="73A3BE60" w14:textId="00D1993D" w:rsidR="00742127" w:rsidRPr="00DE134A" w:rsidRDefault="00742127" w:rsidP="00742127">
      <w:pPr>
        <w:numPr>
          <w:ilvl w:val="1"/>
          <w:numId w:val="3"/>
        </w:numPr>
        <w:tabs>
          <w:tab w:val="clear" w:pos="1440"/>
          <w:tab w:val="left" w:pos="720"/>
          <w:tab w:val="left" w:pos="2160"/>
          <w:tab w:val="left" w:pos="2880"/>
        </w:tabs>
        <w:spacing w:after="0" w:line="240" w:lineRule="auto"/>
        <w:ind w:left="720" w:right="547"/>
        <w:jc w:val="both"/>
      </w:pPr>
      <w:r w:rsidRPr="00DE134A">
        <w:rPr>
          <w:lang w:val="es-419"/>
        </w:rPr>
        <w:t xml:space="preserve">Presentación e intercambio sobre diferentes programas e iniciativas para atender a las mujeres en general y a algunos grupos en particular (trabajo doméstico, por ejemplo), así como desarrollos recientes en materia de transversalización de género en los Ministerios.  </w:t>
      </w:r>
    </w:p>
    <w:p w14:paraId="384C7190" w14:textId="77777777" w:rsidR="0039153F" w:rsidRPr="00DE134A" w:rsidRDefault="0039153F" w:rsidP="0039153F">
      <w:pPr>
        <w:tabs>
          <w:tab w:val="left" w:pos="2160"/>
          <w:tab w:val="left" w:pos="2880"/>
        </w:tabs>
        <w:spacing w:after="0" w:line="240" w:lineRule="auto"/>
        <w:ind w:left="720" w:right="547"/>
        <w:jc w:val="both"/>
      </w:pPr>
    </w:p>
    <w:p w14:paraId="03F06958" w14:textId="34303420" w:rsidR="00742127" w:rsidRPr="00DE134A" w:rsidRDefault="00742127" w:rsidP="00742127">
      <w:pPr>
        <w:numPr>
          <w:ilvl w:val="1"/>
          <w:numId w:val="3"/>
        </w:numPr>
        <w:tabs>
          <w:tab w:val="clear" w:pos="1440"/>
          <w:tab w:val="left" w:pos="720"/>
          <w:tab w:val="left" w:pos="2160"/>
          <w:tab w:val="left" w:pos="2880"/>
        </w:tabs>
        <w:spacing w:after="0" w:line="240" w:lineRule="auto"/>
        <w:ind w:left="720" w:right="547"/>
        <w:jc w:val="both"/>
      </w:pPr>
      <w:r w:rsidRPr="00DE134A">
        <w:t xml:space="preserve">Expresión de voluntad de compartir algunas iniciativas y estrategias.  Canadá </w:t>
      </w:r>
      <w:r w:rsidR="0039153F" w:rsidRPr="00DE134A">
        <w:t>ofreció transmitir su experiencia sobra políticas públicas y género; México y Colombia mencionaron disposición de compartir prácticas de acreditación de buenas prácticas laborales.</w:t>
      </w:r>
    </w:p>
    <w:p w14:paraId="5A277B6C" w14:textId="42BF3178" w:rsidR="00742127" w:rsidRDefault="00742127" w:rsidP="00742127">
      <w:pPr>
        <w:tabs>
          <w:tab w:val="left" w:pos="2160"/>
          <w:tab w:val="left" w:pos="2880"/>
        </w:tabs>
        <w:spacing w:after="0" w:line="240" w:lineRule="auto"/>
        <w:ind w:left="720" w:right="547"/>
        <w:jc w:val="both"/>
      </w:pPr>
    </w:p>
    <w:p w14:paraId="3BD99625" w14:textId="3BB29BCE" w:rsidR="00742127" w:rsidRDefault="00742127" w:rsidP="00742127">
      <w:pPr>
        <w:tabs>
          <w:tab w:val="left" w:pos="2160"/>
          <w:tab w:val="left" w:pos="2880"/>
        </w:tabs>
        <w:spacing w:after="0" w:line="240" w:lineRule="auto"/>
        <w:ind w:left="720" w:right="547"/>
        <w:jc w:val="both"/>
      </w:pPr>
    </w:p>
    <w:p w14:paraId="16963D52" w14:textId="75F8C495" w:rsidR="00285F0D" w:rsidRDefault="00285F0D" w:rsidP="00285F0D">
      <w:r w:rsidRPr="00285F0D">
        <w:rPr>
          <w:b/>
        </w:rPr>
        <w:t>Pasos a seguir</w:t>
      </w:r>
      <w:r>
        <w:t>:</w:t>
      </w:r>
    </w:p>
    <w:p w14:paraId="62FF95D1" w14:textId="6E7E7994" w:rsidR="00285F0D" w:rsidRDefault="00285F0D" w:rsidP="00285F0D">
      <w:pPr>
        <w:numPr>
          <w:ilvl w:val="1"/>
          <w:numId w:val="3"/>
        </w:numPr>
        <w:tabs>
          <w:tab w:val="clear" w:pos="1440"/>
          <w:tab w:val="left" w:pos="720"/>
          <w:tab w:val="left" w:pos="2160"/>
          <w:tab w:val="left" w:pos="2880"/>
        </w:tabs>
        <w:spacing w:after="0" w:line="240" w:lineRule="auto"/>
        <w:ind w:left="720" w:right="547"/>
        <w:jc w:val="both"/>
      </w:pPr>
      <w:r>
        <w:t>Elaboración y publicación de la versión final del Estudio sobre “Institucionalización del Enfoque de Género en las Américas: Una actualización”, incluyendo las reflexiones y recomendaciones que surgieron durante el Diálogo.  El Estudio se retitulará para incluir “Balance de una década”.</w:t>
      </w:r>
    </w:p>
    <w:p w14:paraId="21C8AFE8" w14:textId="77777777" w:rsidR="00285F0D" w:rsidRDefault="00285F0D" w:rsidP="00285F0D">
      <w:pPr>
        <w:tabs>
          <w:tab w:val="left" w:pos="2160"/>
          <w:tab w:val="left" w:pos="2880"/>
        </w:tabs>
        <w:spacing w:after="0" w:line="240" w:lineRule="auto"/>
        <w:ind w:left="720" w:right="547"/>
        <w:jc w:val="both"/>
      </w:pPr>
    </w:p>
    <w:p w14:paraId="66512436" w14:textId="77777777" w:rsidR="00F56900" w:rsidRPr="00F56900" w:rsidRDefault="00285F0D" w:rsidP="00F56900">
      <w:pPr>
        <w:numPr>
          <w:ilvl w:val="1"/>
          <w:numId w:val="3"/>
        </w:numPr>
        <w:tabs>
          <w:tab w:val="clear" w:pos="1440"/>
          <w:tab w:val="left" w:pos="720"/>
          <w:tab w:val="left" w:pos="2160"/>
          <w:tab w:val="left" w:pos="2880"/>
        </w:tabs>
        <w:spacing w:after="0" w:line="240" w:lineRule="auto"/>
        <w:ind w:left="720" w:right="547"/>
        <w:jc w:val="both"/>
      </w:pPr>
      <w:r>
        <w:lastRenderedPageBreak/>
        <w:t xml:space="preserve">Incorporación de iniciativas y programas que adelantan las unidades/áreas de género en el </w:t>
      </w:r>
      <w:r>
        <w:rPr>
          <w:lang w:val="es-419"/>
        </w:rPr>
        <w:t>Portafolio de Programas de la RIAL (</w:t>
      </w:r>
      <w:hyperlink r:id="rId10" w:history="1">
        <w:r w:rsidRPr="00A35AD7">
          <w:rPr>
            <w:rStyle w:val="Hyperlink"/>
            <w:lang w:val="es-419"/>
          </w:rPr>
          <w:t>www.rialnet.org</w:t>
        </w:r>
      </w:hyperlink>
      <w:r>
        <w:rPr>
          <w:lang w:val="es-419"/>
        </w:rPr>
        <w:t>), bajo el tema “Equidad de Género”.  Próximamente la Secretaría enviará in</w:t>
      </w:r>
      <w:r w:rsidR="006F45F4">
        <w:rPr>
          <w:lang w:val="es-419"/>
        </w:rPr>
        <w:t xml:space="preserve">dicaciones </w:t>
      </w:r>
      <w:r>
        <w:rPr>
          <w:lang w:val="es-419"/>
        </w:rPr>
        <w:t>a cada delegación</w:t>
      </w:r>
      <w:r w:rsidR="006F45F4">
        <w:rPr>
          <w:lang w:val="es-419"/>
        </w:rPr>
        <w:t xml:space="preserve"> sobre </w:t>
      </w:r>
      <w:r w:rsidR="006F45F4" w:rsidRPr="00F56900">
        <w:rPr>
          <w:lang w:val="es-419"/>
        </w:rPr>
        <w:t>cómo subir sus programas</w:t>
      </w:r>
      <w:r w:rsidRPr="00F56900">
        <w:rPr>
          <w:lang w:val="es-419"/>
        </w:rPr>
        <w:t>.</w:t>
      </w:r>
    </w:p>
    <w:p w14:paraId="185D7182" w14:textId="77777777" w:rsidR="00F56900" w:rsidRDefault="00F56900" w:rsidP="00F56900">
      <w:pPr>
        <w:tabs>
          <w:tab w:val="left" w:pos="2160"/>
          <w:tab w:val="left" w:pos="2880"/>
        </w:tabs>
        <w:spacing w:after="0" w:line="240" w:lineRule="auto"/>
        <w:ind w:left="720" w:right="547"/>
        <w:jc w:val="both"/>
      </w:pPr>
    </w:p>
    <w:p w14:paraId="59E307C4" w14:textId="46DC9C1A" w:rsidR="006F45F4" w:rsidRPr="00F56900" w:rsidRDefault="00285F0D" w:rsidP="00F56900">
      <w:pPr>
        <w:numPr>
          <w:ilvl w:val="1"/>
          <w:numId w:val="3"/>
        </w:numPr>
        <w:tabs>
          <w:tab w:val="clear" w:pos="1440"/>
          <w:tab w:val="left" w:pos="720"/>
          <w:tab w:val="left" w:pos="2160"/>
          <w:tab w:val="left" w:pos="2880"/>
        </w:tabs>
        <w:spacing w:after="0" w:line="240" w:lineRule="auto"/>
        <w:ind w:left="720" w:right="547"/>
        <w:jc w:val="both"/>
      </w:pPr>
      <w:r w:rsidRPr="00F56900">
        <w:t>La Secretaría pro</w:t>
      </w:r>
      <w:r w:rsidR="00A8001B" w:rsidRPr="00F56900">
        <w:t>puso la creación de una Red de puntos focales de g</w:t>
      </w:r>
      <w:r w:rsidRPr="00F56900">
        <w:t>énero en los Ministerios de Trabajo, como una sub-red especializada de la RIAL</w:t>
      </w:r>
      <w:r w:rsidR="006F45F4" w:rsidRPr="00F56900">
        <w:t>, lo que fue</w:t>
      </w:r>
      <w:r w:rsidR="000F475F" w:rsidRPr="00F56900">
        <w:t xml:space="preserve"> generalmente</w:t>
      </w:r>
      <w:r w:rsidR="006F45F4" w:rsidRPr="00F56900">
        <w:t xml:space="preserve"> acogido por las delegaciones.  La Secretaría </w:t>
      </w:r>
      <w:r w:rsidR="00A8001B" w:rsidRPr="00F56900">
        <w:t>compartir</w:t>
      </w:r>
      <w:r w:rsidR="006F45F4" w:rsidRPr="00F56900">
        <w:t xml:space="preserve">á esta </w:t>
      </w:r>
      <w:r w:rsidR="00A8001B" w:rsidRPr="00F56900">
        <w:t>idea con l</w:t>
      </w:r>
      <w:r w:rsidR="006F45F4" w:rsidRPr="00F56900">
        <w:t>as autoridades de la Conferencia Interamericana de Ministros de Trabajo (CIMT)</w:t>
      </w:r>
      <w:r w:rsidR="00A8001B" w:rsidRPr="00F56900">
        <w:t>, explorará fuentes de financiamiento,</w:t>
      </w:r>
      <w:r w:rsidR="006F45F4" w:rsidRPr="00F56900">
        <w:t xml:space="preserve"> </w:t>
      </w:r>
      <w:r w:rsidR="00A8001B" w:rsidRPr="00F56900">
        <w:t xml:space="preserve">e iniciará </w:t>
      </w:r>
      <w:r w:rsidR="006F45F4">
        <w:t>algunas acciones en el futuro cercano.</w:t>
      </w:r>
    </w:p>
    <w:p w14:paraId="658753F6" w14:textId="77777777" w:rsidR="00285F0D" w:rsidRDefault="00285F0D" w:rsidP="00285F0D">
      <w:pPr>
        <w:tabs>
          <w:tab w:val="left" w:pos="2160"/>
          <w:tab w:val="left" w:pos="2880"/>
        </w:tabs>
        <w:spacing w:after="0" w:line="240" w:lineRule="auto"/>
        <w:ind w:left="720" w:right="547"/>
        <w:jc w:val="both"/>
      </w:pPr>
      <w:r>
        <w:t xml:space="preserve"> </w:t>
      </w:r>
    </w:p>
    <w:p w14:paraId="6580ECF5" w14:textId="1C653031" w:rsidR="00285F0D" w:rsidRDefault="00285F0D" w:rsidP="00285F0D">
      <w:pPr>
        <w:numPr>
          <w:ilvl w:val="1"/>
          <w:numId w:val="3"/>
        </w:numPr>
        <w:tabs>
          <w:tab w:val="clear" w:pos="1440"/>
          <w:tab w:val="left" w:pos="720"/>
          <w:tab w:val="left" w:pos="2160"/>
          <w:tab w:val="left" w:pos="2880"/>
        </w:tabs>
        <w:spacing w:after="0" w:line="240" w:lineRule="auto"/>
        <w:ind w:left="720" w:right="547"/>
        <w:jc w:val="both"/>
      </w:pPr>
      <w:r>
        <w:t xml:space="preserve">Planeación de un Segundo Diálogo Hemisférico a realizarse en </w:t>
      </w:r>
      <w:r w:rsidR="00F56900">
        <w:t>febrero o marzo d</w:t>
      </w:r>
      <w:r>
        <w:t>e 2021 y centrado en una temática particular</w:t>
      </w:r>
      <w:r w:rsidR="00A8001B">
        <w:t xml:space="preserve"> a decidir con las unidades/áreas de género.  Esta será una actividad de la Red de puntos focales.</w:t>
      </w:r>
    </w:p>
    <w:p w14:paraId="7B6DF57C" w14:textId="05F85D0A" w:rsidR="00395B56" w:rsidRDefault="00395B56" w:rsidP="00395B56">
      <w:pPr>
        <w:tabs>
          <w:tab w:val="left" w:pos="2160"/>
          <w:tab w:val="left" w:pos="2880"/>
        </w:tabs>
        <w:spacing w:after="0" w:line="240" w:lineRule="auto"/>
        <w:ind w:left="360" w:right="547"/>
        <w:jc w:val="both"/>
      </w:pPr>
    </w:p>
    <w:p w14:paraId="73A69D4D" w14:textId="4EC4A2E6" w:rsidR="0042410A" w:rsidRDefault="00022DDC" w:rsidP="00A8001B">
      <w:pPr>
        <w:numPr>
          <w:ilvl w:val="1"/>
          <w:numId w:val="3"/>
        </w:numPr>
        <w:tabs>
          <w:tab w:val="clear" w:pos="1440"/>
          <w:tab w:val="left" w:pos="720"/>
          <w:tab w:val="left" w:pos="2160"/>
          <w:tab w:val="left" w:pos="2880"/>
        </w:tabs>
        <w:spacing w:after="0" w:line="240" w:lineRule="auto"/>
        <w:ind w:left="720" w:right="547"/>
        <w:jc w:val="both"/>
      </w:pPr>
      <w:r>
        <w:t xml:space="preserve">Secretaría y CIM continuarán trabajando en el </w:t>
      </w:r>
      <w:r w:rsidR="00395B56">
        <w:t>Curso Virtual sobre Vio</w:t>
      </w:r>
      <w:r>
        <w:t>lencia de Género en el Trabajo, a realizarse en el Portal Educativo de las Américas, para que esté disponible en primer semestre de 2021.</w:t>
      </w:r>
    </w:p>
    <w:p w14:paraId="615B69DD" w14:textId="77777777" w:rsidR="006D33F3" w:rsidRDefault="006D33F3" w:rsidP="006D33F3">
      <w:pPr>
        <w:pStyle w:val="ListParagraph"/>
      </w:pPr>
    </w:p>
    <w:sectPr w:rsidR="006D33F3" w:rsidSect="009C16CD">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C2FC" w14:textId="77777777" w:rsidR="00BA1702" w:rsidRDefault="00BA1702" w:rsidP="009C16CD">
      <w:pPr>
        <w:spacing w:after="0" w:line="240" w:lineRule="auto"/>
      </w:pPr>
      <w:r>
        <w:separator/>
      </w:r>
    </w:p>
  </w:endnote>
  <w:endnote w:type="continuationSeparator" w:id="0">
    <w:p w14:paraId="306D7386" w14:textId="77777777" w:rsidR="00BA1702" w:rsidRDefault="00BA1702" w:rsidP="009C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E0A5" w14:textId="7E6EAD3C" w:rsidR="005B5682" w:rsidRDefault="005B5682" w:rsidP="005B5682">
    <w:pPr>
      <w:pStyle w:val="Footer"/>
      <w:ind w:firstLine="4320"/>
    </w:pPr>
  </w:p>
  <w:p w14:paraId="7FF8DEF2" w14:textId="77777777" w:rsidR="005B5682" w:rsidRDefault="005B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2B5D" w14:textId="77777777" w:rsidR="00BA1702" w:rsidRDefault="00BA1702" w:rsidP="009C16CD">
      <w:pPr>
        <w:spacing w:after="0" w:line="240" w:lineRule="auto"/>
      </w:pPr>
      <w:r>
        <w:separator/>
      </w:r>
    </w:p>
  </w:footnote>
  <w:footnote w:type="continuationSeparator" w:id="0">
    <w:p w14:paraId="60183AA6" w14:textId="77777777" w:rsidR="00BA1702" w:rsidRDefault="00BA1702" w:rsidP="009C1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3F9A" w14:textId="77777777" w:rsidR="009C16CD" w:rsidRDefault="009C16CD">
    <w:pPr>
      <w:pStyle w:val="Header"/>
    </w:pPr>
    <w:r w:rsidRPr="009C16CD">
      <w:rPr>
        <w:noProof/>
        <w:sz w:val="24"/>
        <w:szCs w:val="24"/>
        <w:lang w:val="en-US"/>
      </w:rPr>
      <w:drawing>
        <wp:anchor distT="0" distB="0" distL="114300" distR="114300" simplePos="0" relativeHeight="251659264" behindDoc="1" locked="0" layoutInCell="1" allowOverlap="1" wp14:anchorId="63643B95" wp14:editId="174EC1D6">
          <wp:simplePos x="0" y="0"/>
          <wp:positionH relativeFrom="column">
            <wp:posOffset>-771525</wp:posOffset>
          </wp:positionH>
          <wp:positionV relativeFrom="paragraph">
            <wp:posOffset>-247650</wp:posOffset>
          </wp:positionV>
          <wp:extent cx="2771775" cy="733686"/>
          <wp:effectExtent l="0" t="0" r="0" b="9525"/>
          <wp:wrapNone/>
          <wp:docPr id="1" name="Picture 1" descr="S:\TRABAJOdec\RIAL\Logos\Logos_OEA_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BAJOdec\RIAL\Logos\Logos_OEA_RIAL\RIAL e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1775" cy="7336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53FD"/>
    <w:multiLevelType w:val="hybridMultilevel"/>
    <w:tmpl w:val="B65A42D0"/>
    <w:lvl w:ilvl="0" w:tplc="04090011">
      <w:start w:val="1"/>
      <w:numFmt w:val="decimal"/>
      <w:lvlText w:val="%1)"/>
      <w:lvlJc w:val="left"/>
      <w:pPr>
        <w:tabs>
          <w:tab w:val="num" w:pos="720"/>
        </w:tabs>
        <w:ind w:left="720" w:hanging="360"/>
      </w:pPr>
      <w:rPr>
        <w:rFonts w:hint="default"/>
      </w:rPr>
    </w:lvl>
    <w:lvl w:ilvl="1" w:tplc="255EE8C6">
      <w:start w:val="1"/>
      <w:numFmt w:val="bullet"/>
      <w:lvlText w:val=""/>
      <w:lvlJc w:val="left"/>
      <w:pPr>
        <w:tabs>
          <w:tab w:val="num" w:pos="1440"/>
        </w:tabs>
        <w:ind w:left="1440" w:hanging="360"/>
      </w:pPr>
      <w:rPr>
        <w:rFonts w:ascii="Symbol" w:hAnsi="Symbol" w:hint="default"/>
        <w:sz w:val="16"/>
      </w:rPr>
    </w:lvl>
    <w:lvl w:ilvl="2" w:tplc="8682B39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A4BF1"/>
    <w:multiLevelType w:val="hybridMultilevel"/>
    <w:tmpl w:val="51B4C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0115AF"/>
    <w:multiLevelType w:val="hybridMultilevel"/>
    <w:tmpl w:val="596C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52EA5"/>
    <w:multiLevelType w:val="hybridMultilevel"/>
    <w:tmpl w:val="5A90A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5008EB"/>
    <w:multiLevelType w:val="hybridMultilevel"/>
    <w:tmpl w:val="AD201252"/>
    <w:lvl w:ilvl="0" w:tplc="CFB88294">
      <w:start w:val="1"/>
      <w:numFmt w:val="bullet"/>
      <w:lvlText w:val="-"/>
      <w:lvlJc w:val="left"/>
      <w:pPr>
        <w:ind w:left="1776" w:hanging="360"/>
      </w:pPr>
      <w:rPr>
        <w:rFonts w:ascii="STKaiti" w:eastAsia="STKaiti" w:hAnsi="STKaiti" w:hint="eastAsia"/>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CD"/>
    <w:rsid w:val="00022DDC"/>
    <w:rsid w:val="000C366D"/>
    <w:rsid w:val="000F475F"/>
    <w:rsid w:val="00133EF6"/>
    <w:rsid w:val="00181E08"/>
    <w:rsid w:val="001C22BC"/>
    <w:rsid w:val="00240925"/>
    <w:rsid w:val="002607B5"/>
    <w:rsid w:val="00285F0D"/>
    <w:rsid w:val="0039153F"/>
    <w:rsid w:val="00391A8F"/>
    <w:rsid w:val="00395B56"/>
    <w:rsid w:val="0042410A"/>
    <w:rsid w:val="004658FF"/>
    <w:rsid w:val="00522D33"/>
    <w:rsid w:val="005B5682"/>
    <w:rsid w:val="0067553E"/>
    <w:rsid w:val="00693AA0"/>
    <w:rsid w:val="006D33F3"/>
    <w:rsid w:val="006F45F4"/>
    <w:rsid w:val="00742127"/>
    <w:rsid w:val="007B0133"/>
    <w:rsid w:val="0084059F"/>
    <w:rsid w:val="008D1406"/>
    <w:rsid w:val="009C16CD"/>
    <w:rsid w:val="00A8001B"/>
    <w:rsid w:val="00AC7AC3"/>
    <w:rsid w:val="00B00C0D"/>
    <w:rsid w:val="00B92688"/>
    <w:rsid w:val="00BA1702"/>
    <w:rsid w:val="00D8102A"/>
    <w:rsid w:val="00DE134A"/>
    <w:rsid w:val="00DE612F"/>
    <w:rsid w:val="00ED348B"/>
    <w:rsid w:val="00F0252B"/>
    <w:rsid w:val="00F35493"/>
    <w:rsid w:val="00F56900"/>
    <w:rsid w:val="00F60894"/>
    <w:rsid w:val="00F7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C9A288"/>
  <w15:chartTrackingRefBased/>
  <w15:docId w15:val="{09051F75-01DB-4D36-B3DB-9014819C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6CD"/>
    <w:pPr>
      <w:spacing w:after="200" w:line="276" w:lineRule="auto"/>
    </w:pPr>
    <w:rPr>
      <w:rFonts w:ascii="Calibri" w:eastAsia="Calibri" w:hAnsi="Calibr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CD"/>
    <w:pPr>
      <w:ind w:left="720"/>
    </w:pPr>
  </w:style>
  <w:style w:type="paragraph" w:customStyle="1" w:styleId="gmail-m-1800969585948859244gmail-msolistparagraph">
    <w:name w:val="gmail-m_-1800969585948859244gmail-msolistparagraph"/>
    <w:basedOn w:val="Normal"/>
    <w:rsid w:val="009C16CD"/>
    <w:pPr>
      <w:spacing w:before="100" w:beforeAutospacing="1" w:after="100" w:afterAutospacing="1" w:line="240" w:lineRule="auto"/>
    </w:pPr>
    <w:rPr>
      <w:rFonts w:ascii="Times New Roman" w:hAnsi="Times New Roman"/>
      <w:sz w:val="24"/>
      <w:szCs w:val="24"/>
      <w:lang w:val="en-US"/>
    </w:rPr>
  </w:style>
  <w:style w:type="paragraph" w:styleId="NoSpacing">
    <w:name w:val="No Spacing"/>
    <w:link w:val="NoSpacingChar"/>
    <w:qFormat/>
    <w:rsid w:val="009C16CD"/>
    <w:rPr>
      <w:rFonts w:ascii="Calibri" w:hAnsi="Calibri"/>
      <w:sz w:val="22"/>
      <w:szCs w:val="22"/>
      <w:lang w:val="es-ES"/>
    </w:rPr>
  </w:style>
  <w:style w:type="character" w:customStyle="1" w:styleId="NoSpacingChar">
    <w:name w:val="No Spacing Char"/>
    <w:link w:val="NoSpacing"/>
    <w:locked/>
    <w:rsid w:val="009C16CD"/>
    <w:rPr>
      <w:rFonts w:ascii="Calibri" w:hAnsi="Calibri"/>
      <w:sz w:val="22"/>
      <w:szCs w:val="22"/>
      <w:lang w:val="es-ES"/>
    </w:rPr>
  </w:style>
  <w:style w:type="paragraph" w:styleId="Header">
    <w:name w:val="header"/>
    <w:basedOn w:val="Normal"/>
    <w:link w:val="HeaderChar"/>
    <w:rsid w:val="009C16CD"/>
    <w:pPr>
      <w:tabs>
        <w:tab w:val="center" w:pos="4680"/>
        <w:tab w:val="right" w:pos="9360"/>
      </w:tabs>
      <w:spacing w:after="0" w:line="240" w:lineRule="auto"/>
    </w:pPr>
  </w:style>
  <w:style w:type="character" w:customStyle="1" w:styleId="HeaderChar">
    <w:name w:val="Header Char"/>
    <w:basedOn w:val="DefaultParagraphFont"/>
    <w:link w:val="Header"/>
    <w:rsid w:val="009C16CD"/>
    <w:rPr>
      <w:rFonts w:ascii="Calibri" w:eastAsia="Calibri" w:hAnsi="Calibri"/>
      <w:sz w:val="22"/>
      <w:szCs w:val="22"/>
      <w:lang w:val="es-ES"/>
    </w:rPr>
  </w:style>
  <w:style w:type="paragraph" w:styleId="Footer">
    <w:name w:val="footer"/>
    <w:basedOn w:val="Normal"/>
    <w:link w:val="FooterChar"/>
    <w:uiPriority w:val="99"/>
    <w:rsid w:val="009C1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6CD"/>
    <w:rPr>
      <w:rFonts w:ascii="Calibri" w:eastAsia="Calibri" w:hAnsi="Calibri"/>
      <w:sz w:val="22"/>
      <w:szCs w:val="22"/>
      <w:lang w:val="es-ES"/>
    </w:rPr>
  </w:style>
  <w:style w:type="character" w:styleId="Hyperlink">
    <w:name w:val="Hyperlink"/>
    <w:basedOn w:val="DefaultParagraphFont"/>
    <w:rsid w:val="00D8102A"/>
    <w:rPr>
      <w:color w:val="0563C1" w:themeColor="hyperlink"/>
      <w:u w:val="single"/>
    </w:rPr>
  </w:style>
  <w:style w:type="character" w:styleId="PlaceholderText">
    <w:name w:val="Placeholder Text"/>
    <w:basedOn w:val="DefaultParagraphFont"/>
    <w:uiPriority w:val="99"/>
    <w:semiHidden/>
    <w:rsid w:val="00A8001B"/>
    <w:rPr>
      <w:color w:val="808080"/>
    </w:rPr>
  </w:style>
  <w:style w:type="paragraph" w:customStyle="1" w:styleId="xmsolistparagraph">
    <w:name w:val="x_msolistparagraph"/>
    <w:basedOn w:val="Normal"/>
    <w:uiPriority w:val="99"/>
    <w:rsid w:val="007B0133"/>
    <w:pPr>
      <w:spacing w:after="0" w:line="240" w:lineRule="auto"/>
      <w:ind w:left="720"/>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ialn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00CFAE-DEF1-432B-823C-6EAB536A8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89461-DE74-4164-BD0C-3448B9056A98}">
  <ds:schemaRefs>
    <ds:schemaRef ds:uri="http://schemas.microsoft.com/sharepoint/v3/contenttype/forms"/>
  </ds:schemaRefs>
</ds:datastoreItem>
</file>

<file path=customXml/itemProps3.xml><?xml version="1.0" encoding="utf-8"?>
<ds:datastoreItem xmlns:ds="http://schemas.openxmlformats.org/officeDocument/2006/customXml" ds:itemID="{CEAB0518-BDAC-4BFC-9D1F-1EE2DDD53A63}">
  <ds:schemaRefs>
    <ds:schemaRef ds:uri="http://schemas.microsoft.com/office/2006/metadata/properties"/>
    <ds:schemaRef ds:uri="http://purl.org/dc/elements/1.1/"/>
    <ds:schemaRef ds:uri="89f4cd83-a2d3-4405-9b45-6aff5241ff81"/>
    <ds:schemaRef ds:uri="http://schemas.microsoft.com/office/infopath/2007/PartnerControls"/>
    <ds:schemaRef ds:uri="http://schemas.microsoft.com/office/2006/documentManagement/types"/>
    <ds:schemaRef ds:uri="http://purl.org/dc/dcmitype/"/>
    <ds:schemaRef ds:uri="http://schemas.microsoft.com/sharepoint/v3"/>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Calzada, Guillermo</dc:creator>
  <cp:keywords/>
  <dc:description/>
  <cp:lastModifiedBy>Camacho, Maria Claudia</cp:lastModifiedBy>
  <cp:revision>6</cp:revision>
  <dcterms:created xsi:type="dcterms:W3CDTF">2021-05-03T13:56:00Z</dcterms:created>
  <dcterms:modified xsi:type="dcterms:W3CDTF">2021-05-03T14:08:00Z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