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D9A1" w14:textId="77777777" w:rsidR="009C16CD" w:rsidRPr="000E3680" w:rsidRDefault="009C16CD" w:rsidP="002607B5">
      <w:pPr>
        <w:spacing w:after="0" w:line="240" w:lineRule="auto"/>
        <w:ind w:right="11"/>
        <w:jc w:val="center"/>
        <w:rPr>
          <w:noProof/>
          <w:sz w:val="24"/>
          <w:szCs w:val="24"/>
          <w:lang w:val="en-US"/>
        </w:rPr>
      </w:pPr>
      <w:bookmarkStart w:id="0" w:name="OLE_LINK1"/>
      <w:bookmarkStart w:id="1" w:name="OLE_LINK2"/>
    </w:p>
    <w:p w14:paraId="7738E0D3" w14:textId="77777777" w:rsidR="006F45F4" w:rsidRDefault="006F45F4" w:rsidP="002607B5">
      <w:pPr>
        <w:pStyle w:val="NoSpacing"/>
        <w:jc w:val="center"/>
        <w:rPr>
          <w:rFonts w:ascii="Cambria" w:eastAsia="Calibri" w:hAnsi="Cambria"/>
          <w:b/>
          <w:noProof/>
          <w:sz w:val="32"/>
          <w:szCs w:val="32"/>
          <w:lang w:val="es-419"/>
        </w:rPr>
      </w:pPr>
    </w:p>
    <w:p w14:paraId="60FE1194" w14:textId="77777777" w:rsidR="00CA44EA" w:rsidRDefault="00CA44EA" w:rsidP="002607B5">
      <w:pPr>
        <w:pStyle w:val="NoSpacing"/>
        <w:jc w:val="center"/>
        <w:rPr>
          <w:rFonts w:ascii="Cambria" w:eastAsia="Calibri" w:hAnsi="Cambria"/>
          <w:b/>
          <w:noProof/>
          <w:sz w:val="32"/>
          <w:szCs w:val="32"/>
          <w:lang w:val="en-US"/>
        </w:rPr>
      </w:pPr>
    </w:p>
    <w:p w14:paraId="15BE8FA7" w14:textId="77777777" w:rsidR="00CA44EA" w:rsidRDefault="00CA44EA" w:rsidP="002607B5">
      <w:pPr>
        <w:pStyle w:val="NoSpacing"/>
        <w:jc w:val="center"/>
        <w:rPr>
          <w:rFonts w:ascii="Cambria" w:eastAsia="Calibri" w:hAnsi="Cambria"/>
          <w:b/>
          <w:noProof/>
          <w:sz w:val="32"/>
          <w:szCs w:val="32"/>
          <w:lang w:val="en-US"/>
        </w:rPr>
      </w:pPr>
    </w:p>
    <w:p w14:paraId="77C8DBC3" w14:textId="69AF2811" w:rsidR="009C16CD" w:rsidRPr="005F3A2A" w:rsidRDefault="004D1818" w:rsidP="002607B5">
      <w:pPr>
        <w:pStyle w:val="NoSpacing"/>
        <w:jc w:val="center"/>
        <w:rPr>
          <w:rFonts w:ascii="Cambria" w:eastAsia="Calibri" w:hAnsi="Cambria"/>
          <w:b/>
          <w:noProof/>
          <w:sz w:val="32"/>
          <w:szCs w:val="32"/>
          <w:lang w:val="en-US"/>
        </w:rPr>
      </w:pPr>
      <w:r>
        <w:rPr>
          <w:rFonts w:ascii="Cambria" w:eastAsia="Calibri" w:hAnsi="Cambria"/>
          <w:b/>
          <w:noProof/>
          <w:sz w:val="32"/>
          <w:szCs w:val="32"/>
          <w:lang w:val="en-US"/>
        </w:rPr>
        <w:t>1</w:t>
      </w:r>
      <w:r w:rsidRPr="004D1818">
        <w:rPr>
          <w:rFonts w:ascii="Cambria" w:eastAsia="Calibri" w:hAnsi="Cambria"/>
          <w:b/>
          <w:noProof/>
          <w:sz w:val="32"/>
          <w:szCs w:val="32"/>
          <w:vertAlign w:val="superscript"/>
          <w:lang w:val="en-US"/>
        </w:rPr>
        <w:t>st</w:t>
      </w:r>
      <w:r>
        <w:rPr>
          <w:rFonts w:ascii="Cambria" w:eastAsia="Calibri" w:hAnsi="Cambria"/>
          <w:b/>
          <w:noProof/>
          <w:sz w:val="32"/>
          <w:szCs w:val="32"/>
          <w:lang w:val="en-US"/>
        </w:rPr>
        <w:t xml:space="preserve"> </w:t>
      </w:r>
      <w:r w:rsidR="005F3A2A" w:rsidRPr="005F3A2A">
        <w:rPr>
          <w:rFonts w:ascii="Cambria" w:eastAsia="Calibri" w:hAnsi="Cambria"/>
          <w:b/>
          <w:noProof/>
          <w:sz w:val="32"/>
          <w:szCs w:val="32"/>
          <w:lang w:val="en-US"/>
        </w:rPr>
        <w:t>Hemispheric Dialogue to advan</w:t>
      </w:r>
      <w:r w:rsidR="005F3A2A">
        <w:rPr>
          <w:rFonts w:ascii="Cambria" w:eastAsia="Calibri" w:hAnsi="Cambria"/>
          <w:b/>
          <w:noProof/>
          <w:sz w:val="32"/>
          <w:szCs w:val="32"/>
          <w:lang w:val="en-US"/>
        </w:rPr>
        <w:t>ce the institutionalization of G</w:t>
      </w:r>
      <w:r w:rsidR="005F3A2A" w:rsidRPr="005F3A2A">
        <w:rPr>
          <w:rFonts w:ascii="Cambria" w:eastAsia="Calibri" w:hAnsi="Cambria"/>
          <w:b/>
          <w:noProof/>
          <w:sz w:val="32"/>
          <w:szCs w:val="32"/>
          <w:lang w:val="en-US"/>
        </w:rPr>
        <w:t xml:space="preserve">ender in the </w:t>
      </w:r>
      <w:r w:rsidR="005F3A2A">
        <w:rPr>
          <w:rFonts w:ascii="Cambria" w:eastAsia="Calibri" w:hAnsi="Cambria"/>
          <w:b/>
          <w:noProof/>
          <w:sz w:val="32"/>
          <w:szCs w:val="32"/>
          <w:lang w:val="en-US"/>
        </w:rPr>
        <w:t xml:space="preserve">Ministries of Labor </w:t>
      </w:r>
    </w:p>
    <w:p w14:paraId="6FA3C5B7" w14:textId="77777777" w:rsidR="009C16CD" w:rsidRPr="005F3A2A" w:rsidRDefault="009C16CD" w:rsidP="002607B5">
      <w:pPr>
        <w:pStyle w:val="NoSpacing"/>
        <w:jc w:val="center"/>
        <w:rPr>
          <w:rFonts w:eastAsia="Calibri"/>
          <w:noProof/>
          <w:sz w:val="24"/>
          <w:szCs w:val="24"/>
          <w:lang w:val="en-US"/>
        </w:rPr>
      </w:pPr>
    </w:p>
    <w:p w14:paraId="04CAE9FB" w14:textId="77777777" w:rsidR="009C16CD" w:rsidRPr="005F3A2A" w:rsidRDefault="009C16CD" w:rsidP="002607B5">
      <w:pPr>
        <w:pStyle w:val="NoSpacing"/>
        <w:jc w:val="center"/>
        <w:rPr>
          <w:rFonts w:eastAsia="Calibri"/>
          <w:sz w:val="24"/>
          <w:szCs w:val="24"/>
          <w:lang w:val="en-US"/>
        </w:rPr>
      </w:pPr>
    </w:p>
    <w:bookmarkEnd w:id="0"/>
    <w:bookmarkEnd w:id="1"/>
    <w:p w14:paraId="3E582BE9" w14:textId="0251FED2" w:rsidR="00206884" w:rsidRPr="00206884" w:rsidRDefault="002D65D9" w:rsidP="00206884">
      <w:pPr>
        <w:pStyle w:val="NoSpacing"/>
        <w:jc w:val="center"/>
        <w:rPr>
          <w:rFonts w:ascii="Cambria" w:eastAsia="Calibri" w:hAnsi="Cambria"/>
          <w:b/>
          <w:noProof/>
          <w:sz w:val="28"/>
          <w:szCs w:val="28"/>
          <w:lang w:val="en-US"/>
        </w:rPr>
      </w:pPr>
      <w:r>
        <w:rPr>
          <w:rFonts w:ascii="Cambria" w:eastAsia="Calibri" w:hAnsi="Cambria"/>
          <w:b/>
          <w:noProof/>
          <w:sz w:val="28"/>
          <w:szCs w:val="28"/>
          <w:lang w:val="en-US"/>
        </w:rPr>
        <w:t>MAIN OUTCOME</w:t>
      </w:r>
      <w:r w:rsidR="00206884" w:rsidRPr="00206884">
        <w:rPr>
          <w:rFonts w:ascii="Cambria" w:eastAsia="Calibri" w:hAnsi="Cambria"/>
          <w:b/>
          <w:noProof/>
          <w:sz w:val="28"/>
          <w:szCs w:val="28"/>
          <w:lang w:val="en-US"/>
        </w:rPr>
        <w:t>S AND NEXT STEPS</w:t>
      </w:r>
    </w:p>
    <w:p w14:paraId="57996069" w14:textId="77777777" w:rsidR="00206884" w:rsidRPr="00206884" w:rsidRDefault="00206884" w:rsidP="00206884">
      <w:pPr>
        <w:pStyle w:val="NoSpacing"/>
        <w:jc w:val="center"/>
        <w:rPr>
          <w:rFonts w:eastAsia="Calibri"/>
          <w:noProof/>
          <w:sz w:val="24"/>
          <w:szCs w:val="24"/>
          <w:lang w:val="en-US"/>
        </w:rPr>
      </w:pPr>
    </w:p>
    <w:p w14:paraId="240FDF43" w14:textId="35E2F140" w:rsidR="00206884" w:rsidRPr="00485988" w:rsidRDefault="00206884" w:rsidP="00206884">
      <w:pPr>
        <w:pStyle w:val="NoSpacing"/>
        <w:jc w:val="center"/>
        <w:rPr>
          <w:lang w:val="en-US"/>
        </w:rPr>
      </w:pPr>
      <w:r w:rsidRPr="00206884">
        <w:rPr>
          <w:rFonts w:eastAsia="Calibri"/>
          <w:sz w:val="16"/>
          <w:szCs w:val="16"/>
          <w:lang w:val="en-US"/>
        </w:rPr>
        <w:t xml:space="preserve">   </w:t>
      </w:r>
      <w:r w:rsidRPr="005F3A2A">
        <w:rPr>
          <w:rFonts w:eastAsia="Calibri"/>
          <w:lang w:val="en-US"/>
        </w:rPr>
        <w:t>November 20</w:t>
      </w:r>
      <w:r w:rsidRPr="005F3A2A">
        <w:rPr>
          <w:rFonts w:eastAsia="Calibri"/>
          <w:vertAlign w:val="superscript"/>
          <w:lang w:val="en-US"/>
        </w:rPr>
        <w:t>th</w:t>
      </w:r>
      <w:r w:rsidRPr="005F3A2A">
        <w:rPr>
          <w:rFonts w:eastAsia="Calibri"/>
          <w:lang w:val="en-US"/>
        </w:rPr>
        <w:t>, 2020</w:t>
      </w:r>
      <w:r w:rsidR="007B1BEA">
        <w:rPr>
          <w:rFonts w:eastAsia="Calibri"/>
          <w:lang w:val="en-US"/>
        </w:rPr>
        <w:t xml:space="preserve"> – Virtual Dialogue</w:t>
      </w:r>
      <w:r w:rsidRPr="005F3A2A">
        <w:rPr>
          <w:rFonts w:eastAsia="Calibri"/>
          <w:lang w:val="en-US"/>
        </w:rPr>
        <w:t xml:space="preserve"> </w:t>
      </w:r>
    </w:p>
    <w:p w14:paraId="32148306" w14:textId="7199604A" w:rsidR="00206884" w:rsidRPr="00206884" w:rsidRDefault="00206884" w:rsidP="00206884">
      <w:pPr>
        <w:pStyle w:val="NoSpacing"/>
        <w:jc w:val="center"/>
        <w:rPr>
          <w:lang w:val="en-US"/>
        </w:rPr>
      </w:pPr>
    </w:p>
    <w:p w14:paraId="57F33FB7" w14:textId="77777777" w:rsidR="00206884" w:rsidRPr="00206884" w:rsidRDefault="00206884" w:rsidP="00206884">
      <w:pPr>
        <w:pStyle w:val="NoSpacing"/>
        <w:jc w:val="center"/>
        <w:rPr>
          <w:i/>
          <w:color w:val="0070C0"/>
          <w:lang w:val="en-US"/>
        </w:rPr>
      </w:pPr>
    </w:p>
    <w:p w14:paraId="134071FE" w14:textId="2018E66F" w:rsidR="00693AA0" w:rsidRPr="005F3A2A" w:rsidRDefault="005F3A2A" w:rsidP="002607B5">
      <w:pPr>
        <w:spacing w:after="0" w:line="240" w:lineRule="auto"/>
        <w:ind w:right="14"/>
        <w:jc w:val="both"/>
        <w:rPr>
          <w:rFonts w:cs="Tahoma"/>
          <w:b/>
          <w:lang w:val="en-US"/>
        </w:rPr>
      </w:pPr>
      <w:r w:rsidRPr="005F3A2A">
        <w:rPr>
          <w:rFonts w:cs="Tahoma"/>
          <w:b/>
          <w:lang w:val="en-US"/>
        </w:rPr>
        <w:t>Main outcomes</w:t>
      </w:r>
      <w:r w:rsidR="00481D8B">
        <w:rPr>
          <w:rFonts w:cs="Tahoma"/>
          <w:b/>
          <w:lang w:val="en-US"/>
        </w:rPr>
        <w:t xml:space="preserve">: </w:t>
      </w:r>
    </w:p>
    <w:p w14:paraId="5BEE96C6" w14:textId="2A2E7AE2" w:rsidR="009C16CD" w:rsidRPr="005F3A2A" w:rsidRDefault="009C16CD" w:rsidP="002607B5">
      <w:pPr>
        <w:spacing w:after="0" w:line="240" w:lineRule="auto"/>
        <w:ind w:right="14"/>
        <w:jc w:val="both"/>
        <w:rPr>
          <w:rFonts w:cs="Tahoma"/>
          <w:b/>
          <w:lang w:val="en-US"/>
        </w:rPr>
      </w:pPr>
    </w:p>
    <w:p w14:paraId="5EF2A520" w14:textId="7A1F8918" w:rsidR="00481D8B" w:rsidRDefault="00481D8B" w:rsidP="00481D8B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481D8B">
        <w:rPr>
          <w:lang w:val="en-US"/>
        </w:rPr>
        <w:t xml:space="preserve">Excellent and very relevant </w:t>
      </w:r>
      <w:r w:rsidR="00206884">
        <w:rPr>
          <w:lang w:val="en-US"/>
        </w:rPr>
        <w:t>level of engagement</w:t>
      </w:r>
      <w:r w:rsidRPr="00481D8B">
        <w:rPr>
          <w:lang w:val="en-US"/>
        </w:rPr>
        <w:t xml:space="preserve">, with delegations of </w:t>
      </w:r>
      <w:r w:rsidR="00231F79">
        <w:rPr>
          <w:lang w:val="en-US"/>
        </w:rPr>
        <w:t xml:space="preserve">30 governments </w:t>
      </w:r>
      <w:r>
        <w:rPr>
          <w:lang w:val="en-US"/>
        </w:rPr>
        <w:t>of the Americas, represented by Directors and officers responsible for gender units o</w:t>
      </w:r>
      <w:r w:rsidR="00206884">
        <w:rPr>
          <w:lang w:val="en-US"/>
        </w:rPr>
        <w:t>r areas</w:t>
      </w:r>
      <w:r w:rsidR="00231F79">
        <w:rPr>
          <w:lang w:val="en-US"/>
        </w:rPr>
        <w:t xml:space="preserve"> in Ministries of Labor</w:t>
      </w:r>
      <w:r w:rsidR="00206884">
        <w:rPr>
          <w:lang w:val="en-US"/>
        </w:rPr>
        <w:t xml:space="preserve">. Some delegations were joined </w:t>
      </w:r>
      <w:r>
        <w:rPr>
          <w:lang w:val="en-US"/>
        </w:rPr>
        <w:t xml:space="preserve">by the Permanent Missions of their countries to the OAS. </w:t>
      </w:r>
    </w:p>
    <w:p w14:paraId="478D5F3A" w14:textId="29102B5C" w:rsidR="00273EB5" w:rsidRDefault="00273EB5" w:rsidP="00273EB5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102AF81B" w14:textId="05E7A3AE" w:rsidR="00481D8B" w:rsidRPr="00481D8B" w:rsidRDefault="00481D8B" w:rsidP="00481D8B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481D8B">
        <w:rPr>
          <w:lang w:val="en-US"/>
        </w:rPr>
        <w:t xml:space="preserve">Review and verification, by all delegations, of the difficult situation of women in the labor market, whose levels of unemployment, inactivity and informality have increased </w:t>
      </w:r>
      <w:proofErr w:type="gramStart"/>
      <w:r w:rsidRPr="00481D8B">
        <w:rPr>
          <w:lang w:val="en-US"/>
        </w:rPr>
        <w:t>as a result of</w:t>
      </w:r>
      <w:proofErr w:type="gramEnd"/>
      <w:r w:rsidRPr="00481D8B">
        <w:rPr>
          <w:lang w:val="en-US"/>
        </w:rPr>
        <w:t xml:space="preserve"> the C</w:t>
      </w:r>
      <w:r w:rsidR="00CC6E5F">
        <w:rPr>
          <w:lang w:val="en-US"/>
        </w:rPr>
        <w:t>OVID</w:t>
      </w:r>
      <w:r w:rsidRPr="00481D8B">
        <w:rPr>
          <w:lang w:val="en-US"/>
        </w:rPr>
        <w:t xml:space="preserve">-19 pandemic. The delegates </w:t>
      </w:r>
      <w:r w:rsidR="00206884">
        <w:rPr>
          <w:lang w:val="en-US"/>
        </w:rPr>
        <w:t xml:space="preserve">coincided in </w:t>
      </w:r>
      <w:r w:rsidRPr="00481D8B">
        <w:rPr>
          <w:lang w:val="en-US"/>
        </w:rPr>
        <w:t>their concern regarding the deepening of gender gaps throughout the region.</w:t>
      </w:r>
    </w:p>
    <w:p w14:paraId="4B979EF7" w14:textId="4F5D6995" w:rsidR="002F4DE9" w:rsidRDefault="002F4DE9" w:rsidP="002F4DE9">
      <w:p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</w:p>
    <w:p w14:paraId="4897322C" w14:textId="7BAB6AA3" w:rsidR="00206884" w:rsidRPr="00206884" w:rsidRDefault="00DC3F8D" w:rsidP="00206884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>
        <w:rPr>
          <w:lang w:val="en-US"/>
        </w:rPr>
        <w:t xml:space="preserve">Verification of positive progress </w:t>
      </w:r>
      <w:r w:rsidR="00206884">
        <w:rPr>
          <w:lang w:val="en-US"/>
        </w:rPr>
        <w:t>in both the</w:t>
      </w:r>
      <w:r>
        <w:rPr>
          <w:lang w:val="en-US"/>
        </w:rPr>
        <w:t xml:space="preserve"> institutionalization of gender in the Ministries of labor and the role of the gender units/areas in the response to the crisis generated by C</w:t>
      </w:r>
      <w:r w:rsidR="00CC6E5F">
        <w:rPr>
          <w:lang w:val="en-US"/>
        </w:rPr>
        <w:t>OVID</w:t>
      </w:r>
      <w:r>
        <w:rPr>
          <w:lang w:val="en-US"/>
        </w:rPr>
        <w:t xml:space="preserve">-19, according to the interventions made during the dialogue and results of the live surveys (see </w:t>
      </w:r>
      <w:r w:rsidR="00231F79">
        <w:rPr>
          <w:lang w:val="en-US"/>
        </w:rPr>
        <w:t>relevant document)</w:t>
      </w:r>
      <w:r>
        <w:rPr>
          <w:lang w:val="en-US"/>
        </w:rPr>
        <w:t xml:space="preserve">. Recognition that the advancements achieved must be consolidated and protected, and that the fusion of gender units with areas in charge of different segments of the </w:t>
      </w:r>
      <w:r w:rsidR="002F4DE9">
        <w:rPr>
          <w:lang w:val="en-US"/>
        </w:rPr>
        <w:t>population (</w:t>
      </w:r>
      <w:r>
        <w:rPr>
          <w:lang w:val="en-US"/>
        </w:rPr>
        <w:t>among them, vulnerable populations), could weaken the</w:t>
      </w:r>
      <w:r w:rsidR="002E146D">
        <w:rPr>
          <w:lang w:val="en-US"/>
        </w:rPr>
        <w:t xml:space="preserve"> gender units.</w:t>
      </w:r>
      <w:r>
        <w:rPr>
          <w:lang w:val="en-US"/>
        </w:rPr>
        <w:t xml:space="preserve"> </w:t>
      </w:r>
      <w:r w:rsidR="00206884">
        <w:rPr>
          <w:lang w:val="en-US"/>
        </w:rPr>
        <w:t xml:space="preserve"> </w:t>
      </w:r>
      <w:r w:rsidR="002E146D">
        <w:rPr>
          <w:lang w:val="en-US"/>
        </w:rPr>
        <w:t>Delegations noted</w:t>
      </w:r>
      <w:r w:rsidR="00206884" w:rsidRPr="00206884">
        <w:rPr>
          <w:lang w:val="en-US"/>
        </w:rPr>
        <w:t xml:space="preserve"> the importance </w:t>
      </w:r>
      <w:r w:rsidR="00206884">
        <w:rPr>
          <w:lang w:val="en-US"/>
        </w:rPr>
        <w:t>of</w:t>
      </w:r>
      <w:r w:rsidR="00206884" w:rsidRPr="00206884">
        <w:rPr>
          <w:lang w:val="en-US"/>
        </w:rPr>
        <w:t xml:space="preserve"> gender units </w:t>
      </w:r>
      <w:r w:rsidR="00206884">
        <w:rPr>
          <w:lang w:val="en-US"/>
        </w:rPr>
        <w:t xml:space="preserve">having </w:t>
      </w:r>
      <w:r w:rsidR="00206884" w:rsidRPr="00206884">
        <w:rPr>
          <w:lang w:val="en-US"/>
        </w:rPr>
        <w:t>a clear mission and clear functions</w:t>
      </w:r>
      <w:r w:rsidR="005004D9">
        <w:rPr>
          <w:lang w:val="en-US"/>
        </w:rPr>
        <w:t>.</w:t>
      </w:r>
    </w:p>
    <w:p w14:paraId="00B98A27" w14:textId="682467F2" w:rsidR="002F4DE9" w:rsidRPr="00273EB5" w:rsidRDefault="002F4DE9" w:rsidP="002F4DE9">
      <w:p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</w:p>
    <w:p w14:paraId="48AF5696" w14:textId="77777777" w:rsidR="00273EB5" w:rsidRDefault="00DC3F8D" w:rsidP="00273EB5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>
        <w:rPr>
          <w:lang w:val="en-US"/>
        </w:rPr>
        <w:t xml:space="preserve">Presentation of main conclusions and recommendations of the “Study on the Institutionalization of a Gender Approach in the Ministries of Labor of the Americas: An update”, and </w:t>
      </w:r>
      <w:r w:rsidR="00D8611E">
        <w:rPr>
          <w:lang w:val="en-US"/>
        </w:rPr>
        <w:t xml:space="preserve">enrichment of those </w:t>
      </w:r>
      <w:r>
        <w:rPr>
          <w:lang w:val="en-US"/>
        </w:rPr>
        <w:t xml:space="preserve">recommendations, </w:t>
      </w:r>
      <w:r w:rsidR="00D8611E">
        <w:rPr>
          <w:lang w:val="en-US"/>
        </w:rPr>
        <w:t xml:space="preserve">as </w:t>
      </w:r>
      <w:r>
        <w:rPr>
          <w:lang w:val="en-US"/>
        </w:rPr>
        <w:t xml:space="preserve">per the points below. </w:t>
      </w:r>
    </w:p>
    <w:p w14:paraId="5DC28B0C" w14:textId="77777777" w:rsidR="00273EB5" w:rsidRDefault="00273EB5" w:rsidP="00273EB5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0135A95A" w14:textId="1AB210FD" w:rsidR="00273EB5" w:rsidRPr="00273EB5" w:rsidRDefault="00273EB5" w:rsidP="00273EB5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273EB5">
        <w:rPr>
          <w:lang w:val="en-US"/>
        </w:rPr>
        <w:t xml:space="preserve">Affirmation of the interest and willingness to strengthen cooperation </w:t>
      </w:r>
      <w:r>
        <w:rPr>
          <w:lang w:val="en-US"/>
        </w:rPr>
        <w:t xml:space="preserve">among </w:t>
      </w:r>
      <w:r w:rsidRPr="00273EB5">
        <w:rPr>
          <w:lang w:val="en-US"/>
        </w:rPr>
        <w:t xml:space="preserve">gender units / areas, </w:t>
      </w:r>
      <w:proofErr w:type="gramStart"/>
      <w:r w:rsidRPr="00273EB5">
        <w:rPr>
          <w:lang w:val="en-US"/>
        </w:rPr>
        <w:t xml:space="preserve">as a </w:t>
      </w:r>
      <w:r>
        <w:rPr>
          <w:lang w:val="en-US"/>
        </w:rPr>
        <w:t>means</w:t>
      </w:r>
      <w:r w:rsidRPr="00273EB5">
        <w:rPr>
          <w:lang w:val="en-US"/>
        </w:rPr>
        <w:t xml:space="preserve"> to</w:t>
      </w:r>
      <w:proofErr w:type="gramEnd"/>
      <w:r w:rsidRPr="00273EB5">
        <w:rPr>
          <w:lang w:val="en-US"/>
        </w:rPr>
        <w:t xml:space="preserve"> strengthen their initiatives and organization.</w:t>
      </w:r>
    </w:p>
    <w:p w14:paraId="326E9B00" w14:textId="4A99B23D" w:rsidR="00CA44EA" w:rsidRDefault="00CA44EA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0557AD53" w14:textId="77777777" w:rsidR="00273EB5" w:rsidRDefault="00273EB5" w:rsidP="00273EB5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0539E66F" w14:textId="344975B6" w:rsidR="00E510E4" w:rsidRDefault="00E510E4" w:rsidP="00E510E4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E510E4">
        <w:rPr>
          <w:lang w:val="en-US"/>
        </w:rPr>
        <w:t>Identification of t</w:t>
      </w:r>
      <w:r>
        <w:rPr>
          <w:lang w:val="en-US"/>
        </w:rPr>
        <w:t>opics</w:t>
      </w:r>
      <w:r w:rsidRPr="00E510E4">
        <w:rPr>
          <w:lang w:val="en-US"/>
        </w:rPr>
        <w:t xml:space="preserve"> of great interest to continue cooperation and training</w:t>
      </w:r>
      <w:r>
        <w:rPr>
          <w:lang w:val="en-US"/>
        </w:rPr>
        <w:t xml:space="preserve">: </w:t>
      </w:r>
    </w:p>
    <w:p w14:paraId="5EFF3460" w14:textId="77777777" w:rsidR="00E510E4" w:rsidRDefault="00E510E4" w:rsidP="00E510E4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1348C1CB" w14:textId="77777777" w:rsidR="00E510E4" w:rsidRPr="00E510E4" w:rsidRDefault="00E510E4" w:rsidP="00E510E4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r w:rsidRPr="00E510E4">
        <w:rPr>
          <w:lang w:val="en-US"/>
        </w:rPr>
        <w:t xml:space="preserve">Domestic Work and ratification of ILO Convention 189 </w:t>
      </w:r>
    </w:p>
    <w:p w14:paraId="693F4EBA" w14:textId="0618B386" w:rsidR="00E510E4" w:rsidRPr="00E510E4" w:rsidRDefault="00E510E4" w:rsidP="00E510E4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r w:rsidRPr="00E510E4">
        <w:rPr>
          <w:lang w:val="en-US"/>
        </w:rPr>
        <w:t>Care systems /</w:t>
      </w:r>
      <w:r w:rsidR="00D8611E">
        <w:rPr>
          <w:lang w:val="en-US"/>
        </w:rPr>
        <w:t xml:space="preserve"> shared responsibility. Difference was made between sharing care tasks and a shared responsibility in the broader sense (State, family, civil society)</w:t>
      </w:r>
      <w:r w:rsidRPr="00E510E4">
        <w:rPr>
          <w:lang w:val="en-US"/>
        </w:rPr>
        <w:t xml:space="preserve"> </w:t>
      </w:r>
    </w:p>
    <w:p w14:paraId="3CBC2870" w14:textId="77777777" w:rsidR="00E510E4" w:rsidRPr="00E510E4" w:rsidRDefault="00E510E4" w:rsidP="00E510E4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r w:rsidRPr="00E510E4">
        <w:rPr>
          <w:lang w:val="en-US"/>
        </w:rPr>
        <w:t xml:space="preserve">Wage gap. One of the ways to address this topic is through seals and distinctions for companies committed to gender equity. </w:t>
      </w:r>
    </w:p>
    <w:p w14:paraId="196815A0" w14:textId="45BA8699" w:rsidR="00E510E4" w:rsidRPr="00E510E4" w:rsidRDefault="00E510E4" w:rsidP="00E510E4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r w:rsidRPr="00E510E4">
        <w:rPr>
          <w:lang w:val="en-US"/>
        </w:rPr>
        <w:t xml:space="preserve">Formalization </w:t>
      </w:r>
      <w:proofErr w:type="gramStart"/>
      <w:r w:rsidRPr="00E510E4">
        <w:rPr>
          <w:lang w:val="en-US"/>
        </w:rPr>
        <w:t>strategies</w:t>
      </w:r>
      <w:r w:rsidR="00D8611E">
        <w:rPr>
          <w:lang w:val="en-US"/>
        </w:rPr>
        <w:t>;</w:t>
      </w:r>
      <w:proofErr w:type="gramEnd"/>
      <w:r w:rsidR="00D8611E">
        <w:rPr>
          <w:lang w:val="en-US"/>
        </w:rPr>
        <w:t xml:space="preserve"> recognition and increase of s</w:t>
      </w:r>
      <w:r w:rsidRPr="00E510E4">
        <w:rPr>
          <w:lang w:val="en-US"/>
        </w:rPr>
        <w:t xml:space="preserve">ocial security coverage for unpaid </w:t>
      </w:r>
      <w:r>
        <w:rPr>
          <w:lang w:val="en-US"/>
        </w:rPr>
        <w:t>w</w:t>
      </w:r>
      <w:r w:rsidRPr="00E510E4">
        <w:rPr>
          <w:lang w:val="en-US"/>
        </w:rPr>
        <w:t>ork.</w:t>
      </w:r>
      <w:r>
        <w:rPr>
          <w:lang w:val="en-US"/>
        </w:rPr>
        <w:t xml:space="preserve"> </w:t>
      </w:r>
    </w:p>
    <w:p w14:paraId="491252CC" w14:textId="022548F7" w:rsidR="00E510E4" w:rsidRDefault="00E510E4" w:rsidP="00E510E4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r w:rsidRPr="00E510E4">
        <w:rPr>
          <w:lang w:val="en-US"/>
        </w:rPr>
        <w:t xml:space="preserve">Violence </w:t>
      </w:r>
      <w:r>
        <w:rPr>
          <w:lang w:val="en-US"/>
        </w:rPr>
        <w:t xml:space="preserve">and harassment in the workplace. </w:t>
      </w:r>
      <w:r w:rsidR="00D8611E">
        <w:rPr>
          <w:lang w:val="en-US"/>
        </w:rPr>
        <w:t xml:space="preserve"> Need to ratify ILO Convention 190 was mentioned.</w:t>
      </w:r>
    </w:p>
    <w:p w14:paraId="6B6CCE58" w14:textId="529CD1BB" w:rsidR="00D8611E" w:rsidRPr="00CC6E5F" w:rsidRDefault="00D8611E" w:rsidP="00E510E4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r w:rsidRPr="00CC6E5F">
        <w:rPr>
          <w:lang w:val="en-US"/>
        </w:rPr>
        <w:t>Gender dimension of telework and work from home.</w:t>
      </w:r>
    </w:p>
    <w:p w14:paraId="158E477F" w14:textId="69BDE2CC" w:rsidR="002E146D" w:rsidRPr="00CC6E5F" w:rsidRDefault="002E146D" w:rsidP="002E146D">
      <w:pPr>
        <w:numPr>
          <w:ilvl w:val="1"/>
          <w:numId w:val="3"/>
        </w:num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  <w:bookmarkStart w:id="2" w:name="_Hlk70928356"/>
      <w:r w:rsidRPr="00CC6E5F">
        <w:rPr>
          <w:lang w:val="en-US"/>
        </w:rPr>
        <w:t xml:space="preserve">Increased vulnerabilities and discrimination </w:t>
      </w:r>
      <w:r w:rsidR="00CC6E5F" w:rsidRPr="00CC6E5F">
        <w:rPr>
          <w:lang w:val="en-US"/>
        </w:rPr>
        <w:t xml:space="preserve">in the labor market due to COVID-19 </w:t>
      </w:r>
      <w:r w:rsidRPr="00CC6E5F">
        <w:rPr>
          <w:lang w:val="en-US"/>
        </w:rPr>
        <w:t>faced by certain women, including Afro-descendant women, indigenous women, and women with disabilities, as well as women in rural areas.</w:t>
      </w:r>
    </w:p>
    <w:bookmarkEnd w:id="2"/>
    <w:p w14:paraId="41229340" w14:textId="77777777" w:rsidR="00E510E4" w:rsidRDefault="00E510E4" w:rsidP="00E510E4">
      <w:pPr>
        <w:tabs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</w:p>
    <w:p w14:paraId="2F0C5EAC" w14:textId="2DA839F7" w:rsidR="0042410A" w:rsidRPr="00CC6E5F" w:rsidRDefault="00E510E4" w:rsidP="00E510E4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E510E4">
        <w:rPr>
          <w:lang w:val="en-US"/>
        </w:rPr>
        <w:t>Call to continue supporting the institutional strength</w:t>
      </w:r>
      <w:r>
        <w:rPr>
          <w:lang w:val="en-US"/>
        </w:rPr>
        <w:t>ening of gender units / areas. T</w:t>
      </w:r>
      <w:r w:rsidRPr="00E510E4">
        <w:rPr>
          <w:lang w:val="en-US"/>
        </w:rPr>
        <w:t xml:space="preserve">he idea to </w:t>
      </w:r>
      <w:r w:rsidR="002E146D">
        <w:rPr>
          <w:lang w:val="en-US"/>
        </w:rPr>
        <w:t>produce</w:t>
      </w:r>
      <w:r w:rsidRPr="00E510E4">
        <w:rPr>
          <w:lang w:val="en-US"/>
        </w:rPr>
        <w:t xml:space="preserve"> a</w:t>
      </w:r>
      <w:r w:rsidR="00C43E55">
        <w:rPr>
          <w:lang w:val="en-US"/>
        </w:rPr>
        <w:t xml:space="preserve"> Gender Unit</w:t>
      </w:r>
      <w:r w:rsidRPr="00E510E4">
        <w:rPr>
          <w:lang w:val="en-US"/>
        </w:rPr>
        <w:t xml:space="preserve"> Manual or A</w:t>
      </w:r>
      <w:r>
        <w:rPr>
          <w:lang w:val="en-US"/>
        </w:rPr>
        <w:t>-</w:t>
      </w:r>
      <w:r w:rsidRPr="00E510E4">
        <w:rPr>
          <w:lang w:val="en-US"/>
        </w:rPr>
        <w:t>B</w:t>
      </w:r>
      <w:r w:rsidR="00C43E55">
        <w:rPr>
          <w:lang w:val="en-US"/>
        </w:rPr>
        <w:t>-</w:t>
      </w:r>
      <w:r w:rsidRPr="00E510E4">
        <w:rPr>
          <w:lang w:val="en-US"/>
        </w:rPr>
        <w:t xml:space="preserve">C was mentioned, </w:t>
      </w:r>
      <w:r w:rsidRPr="00CC6E5F">
        <w:rPr>
          <w:lang w:val="en-US"/>
        </w:rPr>
        <w:t>which</w:t>
      </w:r>
      <w:r w:rsidR="002E146D" w:rsidRPr="00CC6E5F">
        <w:rPr>
          <w:lang w:val="en-US"/>
        </w:rPr>
        <w:t xml:space="preserve"> co</w:t>
      </w:r>
      <w:r w:rsidRPr="00CC6E5F">
        <w:rPr>
          <w:lang w:val="en-US"/>
        </w:rPr>
        <w:t xml:space="preserve">uld specify the </w:t>
      </w:r>
      <w:r w:rsidR="002E146D" w:rsidRPr="00CC6E5F">
        <w:rPr>
          <w:lang w:val="en-US"/>
        </w:rPr>
        <w:t>general objectives and functions of</w:t>
      </w:r>
      <w:r w:rsidRPr="00CC6E5F">
        <w:rPr>
          <w:lang w:val="en-US"/>
        </w:rPr>
        <w:t xml:space="preserve"> gender unit</w:t>
      </w:r>
      <w:r w:rsidR="002E146D" w:rsidRPr="00CC6E5F">
        <w:rPr>
          <w:lang w:val="en-US"/>
        </w:rPr>
        <w:t>s</w:t>
      </w:r>
      <w:r w:rsidRPr="00CC6E5F">
        <w:rPr>
          <w:lang w:val="en-US"/>
        </w:rPr>
        <w:t xml:space="preserve"> / area</w:t>
      </w:r>
      <w:r w:rsidR="002E146D" w:rsidRPr="00CC6E5F">
        <w:rPr>
          <w:lang w:val="en-US"/>
        </w:rPr>
        <w:t>s</w:t>
      </w:r>
      <w:r w:rsidRPr="00CC6E5F">
        <w:rPr>
          <w:lang w:val="en-US"/>
        </w:rPr>
        <w:t xml:space="preserve">. </w:t>
      </w:r>
    </w:p>
    <w:p w14:paraId="4EF837B5" w14:textId="77777777" w:rsidR="00485988" w:rsidRPr="00D8611E" w:rsidRDefault="00485988" w:rsidP="00485988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459CAE96" w14:textId="2D2114D5" w:rsidR="00485988" w:rsidRDefault="00C43E55" w:rsidP="00485988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>
        <w:rPr>
          <w:lang w:val="en-US"/>
        </w:rPr>
        <w:t>Generally, t</w:t>
      </w:r>
      <w:r w:rsidRPr="00C43E55">
        <w:rPr>
          <w:lang w:val="en-US"/>
        </w:rPr>
        <w:t xml:space="preserve">he Ministries of Labor of the </w:t>
      </w:r>
      <w:r>
        <w:rPr>
          <w:lang w:val="en-US"/>
        </w:rPr>
        <w:t xml:space="preserve">Caribbean have gender focal points that receive instructions from the National Mechanisms for the Advancement of Women to achieve gender mainstreaming. Some Ministries </w:t>
      </w:r>
      <w:r w:rsidR="00D8611E">
        <w:rPr>
          <w:lang w:val="en-US"/>
        </w:rPr>
        <w:t>in</w:t>
      </w:r>
      <w:r>
        <w:rPr>
          <w:lang w:val="en-US"/>
        </w:rPr>
        <w:t xml:space="preserve"> the Caribbean are interested in evaluating the creation of a gender unit, for which they would require technical support. </w:t>
      </w:r>
    </w:p>
    <w:p w14:paraId="1758CAA6" w14:textId="77777777" w:rsidR="00D8611E" w:rsidRDefault="00D8611E" w:rsidP="00D8611E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6FC571B6" w14:textId="594CC7F6" w:rsidR="00273EB5" w:rsidRDefault="00485988" w:rsidP="00273EB5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481D8B">
        <w:rPr>
          <w:lang w:val="en-US"/>
        </w:rPr>
        <w:t xml:space="preserve">Presentation and </w:t>
      </w:r>
      <w:r w:rsidR="00D8611E">
        <w:rPr>
          <w:lang w:val="en-US"/>
        </w:rPr>
        <w:t>e</w:t>
      </w:r>
      <w:r w:rsidR="00273EB5">
        <w:rPr>
          <w:lang w:val="en-US"/>
        </w:rPr>
        <w:t>xcha</w:t>
      </w:r>
      <w:r w:rsidR="00D8611E">
        <w:rPr>
          <w:lang w:val="en-US"/>
        </w:rPr>
        <w:t>nge</w:t>
      </w:r>
      <w:r w:rsidRPr="00481D8B">
        <w:rPr>
          <w:lang w:val="en-US"/>
        </w:rPr>
        <w:t xml:space="preserve"> on various programs and initiatives t</w:t>
      </w:r>
      <w:r w:rsidR="00D8611E">
        <w:rPr>
          <w:lang w:val="en-US"/>
        </w:rPr>
        <w:t xml:space="preserve">hat target women </w:t>
      </w:r>
      <w:r>
        <w:rPr>
          <w:lang w:val="en-US"/>
        </w:rPr>
        <w:t>in general</w:t>
      </w:r>
      <w:r w:rsidR="00D8611E">
        <w:rPr>
          <w:lang w:val="en-US"/>
        </w:rPr>
        <w:t xml:space="preserve">, or some </w:t>
      </w:r>
      <w:proofErr w:type="gramStart"/>
      <w:r w:rsidR="00D8611E">
        <w:rPr>
          <w:lang w:val="en-US"/>
        </w:rPr>
        <w:t>groups in particular</w:t>
      </w:r>
      <w:proofErr w:type="gramEnd"/>
      <w:r w:rsidR="00D8611E">
        <w:rPr>
          <w:lang w:val="en-US"/>
        </w:rPr>
        <w:t xml:space="preserve"> (domestic work, for instance</w:t>
      </w:r>
      <w:r w:rsidR="00CC6E5F">
        <w:rPr>
          <w:lang w:val="en-US"/>
        </w:rPr>
        <w:t xml:space="preserve">), </w:t>
      </w:r>
      <w:r>
        <w:rPr>
          <w:lang w:val="en-US"/>
        </w:rPr>
        <w:t xml:space="preserve">as well as </w:t>
      </w:r>
      <w:r w:rsidR="00D8611E">
        <w:rPr>
          <w:lang w:val="en-US"/>
        </w:rPr>
        <w:t xml:space="preserve">on </w:t>
      </w:r>
      <w:r>
        <w:rPr>
          <w:lang w:val="en-US"/>
        </w:rPr>
        <w:t xml:space="preserve">recent developments regarding gender mainstreaming in the Ministries. </w:t>
      </w:r>
    </w:p>
    <w:p w14:paraId="0BFC9EB0" w14:textId="77777777" w:rsidR="00273EB5" w:rsidRDefault="00273EB5" w:rsidP="00273EB5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4BA81E57" w14:textId="4674DAD9" w:rsidR="00273EB5" w:rsidRPr="00273EB5" w:rsidRDefault="00273EB5" w:rsidP="00273EB5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273EB5">
        <w:rPr>
          <w:lang w:val="en-US"/>
        </w:rPr>
        <w:t>Expression of willingness to share some initiatives and strategies. Canada offered to share its experience on public policy and gender; Mexico and Colombia mentioned willingness to share practices on seals and accreditation of good labor practices.</w:t>
      </w:r>
    </w:p>
    <w:p w14:paraId="310D4FF5" w14:textId="77777777" w:rsidR="005348EE" w:rsidRDefault="005348EE" w:rsidP="00285F0D">
      <w:pPr>
        <w:rPr>
          <w:b/>
          <w:lang w:val="en-US"/>
        </w:rPr>
      </w:pPr>
    </w:p>
    <w:p w14:paraId="16963D52" w14:textId="197177CA" w:rsidR="00285F0D" w:rsidRPr="00C43E55" w:rsidRDefault="00C43E55" w:rsidP="00285F0D">
      <w:pPr>
        <w:rPr>
          <w:lang w:val="en-US"/>
        </w:rPr>
      </w:pPr>
      <w:r w:rsidRPr="00C43E55">
        <w:rPr>
          <w:b/>
          <w:lang w:val="en-US"/>
        </w:rPr>
        <w:t xml:space="preserve">Next steps: </w:t>
      </w:r>
    </w:p>
    <w:p w14:paraId="62FF95D1" w14:textId="35FE1C0B" w:rsidR="00285F0D" w:rsidRDefault="00C43E55" w:rsidP="00C43E55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C43E55">
        <w:rPr>
          <w:lang w:val="en-US"/>
        </w:rPr>
        <w:t xml:space="preserve">Preparation and publication of the final version of the Study on “Institutionalization of a Gender Approach in the Ministries of Labor of the Americas: An Update”, </w:t>
      </w:r>
      <w:r w:rsidR="001C57EB">
        <w:rPr>
          <w:lang w:val="en-US"/>
        </w:rPr>
        <w:t xml:space="preserve">will </w:t>
      </w:r>
      <w:r w:rsidRPr="00C43E55">
        <w:rPr>
          <w:lang w:val="en-US"/>
        </w:rPr>
        <w:t>includ</w:t>
      </w:r>
      <w:r w:rsidR="001C57EB">
        <w:rPr>
          <w:lang w:val="en-US"/>
        </w:rPr>
        <w:t>e</w:t>
      </w:r>
      <w:r w:rsidRPr="00C43E55">
        <w:rPr>
          <w:lang w:val="en-US"/>
        </w:rPr>
        <w:t xml:space="preserve"> the inputs and recommendations </w:t>
      </w:r>
      <w:r w:rsidR="001C57EB">
        <w:rPr>
          <w:lang w:val="en-US"/>
        </w:rPr>
        <w:t xml:space="preserve">that </w:t>
      </w:r>
      <w:r w:rsidRPr="00C43E55">
        <w:rPr>
          <w:lang w:val="en-US"/>
        </w:rPr>
        <w:t>emerged during the Dialogue. The Study will be renamed to include “Balance of a Decade”.</w:t>
      </w:r>
    </w:p>
    <w:p w14:paraId="4382F2B9" w14:textId="77777777" w:rsidR="00C43E55" w:rsidRPr="00C43E55" w:rsidRDefault="00C43E55" w:rsidP="00C43E55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39A889AB" w14:textId="168E3377" w:rsidR="002F4DE9" w:rsidRDefault="00273EB5" w:rsidP="002F4DE9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>
        <w:rPr>
          <w:lang w:val="en-US"/>
        </w:rPr>
        <w:lastRenderedPageBreak/>
        <w:t>Uploading</w:t>
      </w:r>
      <w:r w:rsidR="00C43E55">
        <w:rPr>
          <w:lang w:val="en-US"/>
        </w:rPr>
        <w:t xml:space="preserve"> of the gender units/areas initiatives and programs in the RIAL Portfolio of Programs </w:t>
      </w:r>
      <w:r w:rsidR="002F4DE9">
        <w:rPr>
          <w:lang w:val="en-US"/>
        </w:rPr>
        <w:t>(</w:t>
      </w:r>
      <w:hyperlink r:id="rId10" w:history="1">
        <w:r w:rsidR="002F4DE9" w:rsidRPr="00675A32">
          <w:rPr>
            <w:rStyle w:val="Hyperlink"/>
            <w:lang w:val="en-US"/>
          </w:rPr>
          <w:t>www.rialnet.org</w:t>
        </w:r>
      </w:hyperlink>
      <w:r w:rsidR="002F4DE9">
        <w:rPr>
          <w:lang w:val="en-US"/>
        </w:rPr>
        <w:t>) under the theme “Gender Equity”. The Secretariat will send instructions on how to upload programs to each delegation</w:t>
      </w:r>
      <w:r w:rsidR="005348EE">
        <w:rPr>
          <w:lang w:val="en-US"/>
        </w:rPr>
        <w:t xml:space="preserve"> shortly</w:t>
      </w:r>
      <w:r w:rsidR="002F4DE9">
        <w:rPr>
          <w:lang w:val="en-US"/>
        </w:rPr>
        <w:t xml:space="preserve">. </w:t>
      </w:r>
    </w:p>
    <w:p w14:paraId="33DD1BD5" w14:textId="77777777" w:rsidR="002F4DE9" w:rsidRPr="002D65D9" w:rsidRDefault="002F4DE9" w:rsidP="002F4DE9">
      <w:pPr>
        <w:tabs>
          <w:tab w:val="left" w:pos="720"/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</w:p>
    <w:p w14:paraId="223B4DF8" w14:textId="6934DC7A" w:rsidR="005348EE" w:rsidRPr="00CA44EA" w:rsidRDefault="002F4DE9" w:rsidP="005348EE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>
        <w:rPr>
          <w:lang w:val="en-US"/>
        </w:rPr>
        <w:t xml:space="preserve">The Secretariat proposed the </w:t>
      </w:r>
      <w:r w:rsidRPr="00CA44EA">
        <w:rPr>
          <w:lang w:val="en-US"/>
        </w:rPr>
        <w:t xml:space="preserve">creation of a Ministries of Labor gender focal point Network, as a specialized sub-network of the RIAL, which was </w:t>
      </w:r>
      <w:r w:rsidR="001C57EB" w:rsidRPr="00CA44EA">
        <w:rPr>
          <w:lang w:val="en-US"/>
        </w:rPr>
        <w:t>generally supported</w:t>
      </w:r>
      <w:r w:rsidR="005348EE" w:rsidRPr="00CA44EA">
        <w:rPr>
          <w:lang w:val="en-US"/>
        </w:rPr>
        <w:t xml:space="preserve"> by </w:t>
      </w:r>
      <w:r w:rsidRPr="00CA44EA">
        <w:rPr>
          <w:lang w:val="en-US"/>
        </w:rPr>
        <w:t>delegations.</w:t>
      </w:r>
      <w:r w:rsidR="005348EE" w:rsidRPr="00CA44EA">
        <w:rPr>
          <w:lang w:val="en-US"/>
        </w:rPr>
        <w:t xml:space="preserve"> The Secretariat will share this</w:t>
      </w:r>
      <w:r w:rsidRPr="00CA44EA">
        <w:rPr>
          <w:lang w:val="en-US"/>
        </w:rPr>
        <w:t xml:space="preserve"> idea with the authorities of the Inter-American Conference of Ministers of Labor (IACML), explore funding sources, and in</w:t>
      </w:r>
      <w:r w:rsidR="005348EE" w:rsidRPr="00CA44EA">
        <w:rPr>
          <w:lang w:val="en-US"/>
        </w:rPr>
        <w:t>itiate s</w:t>
      </w:r>
      <w:r w:rsidRPr="00CA44EA">
        <w:rPr>
          <w:lang w:val="en-US"/>
        </w:rPr>
        <w:t xml:space="preserve">ome actions </w:t>
      </w:r>
      <w:proofErr w:type="gramStart"/>
      <w:r w:rsidRPr="00CA44EA">
        <w:rPr>
          <w:lang w:val="en-US"/>
        </w:rPr>
        <w:t>in the near future</w:t>
      </w:r>
      <w:proofErr w:type="gramEnd"/>
      <w:r w:rsidRPr="00CA44EA">
        <w:rPr>
          <w:lang w:val="en-US"/>
        </w:rPr>
        <w:t xml:space="preserve">. </w:t>
      </w:r>
    </w:p>
    <w:p w14:paraId="2FA898B3" w14:textId="77777777" w:rsidR="005348EE" w:rsidRPr="00CA44EA" w:rsidRDefault="005348EE" w:rsidP="005348EE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59E307C4" w14:textId="349C9544" w:rsidR="006F45F4" w:rsidRPr="00CA44EA" w:rsidRDefault="002F4DE9" w:rsidP="005348EE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CA44EA">
        <w:rPr>
          <w:lang w:val="en-US"/>
        </w:rPr>
        <w:t xml:space="preserve">Planning of a second hemispheric dialogue to be held in </w:t>
      </w:r>
      <w:r w:rsidR="001C57EB" w:rsidRPr="00CA44EA">
        <w:rPr>
          <w:lang w:val="en-US"/>
        </w:rPr>
        <w:t xml:space="preserve">February or </w:t>
      </w:r>
      <w:proofErr w:type="gramStart"/>
      <w:r w:rsidR="001C57EB" w:rsidRPr="00CA44EA">
        <w:rPr>
          <w:lang w:val="en-US"/>
        </w:rPr>
        <w:t>March</w:t>
      </w:r>
      <w:r w:rsidRPr="00CA44EA">
        <w:rPr>
          <w:lang w:val="en-US"/>
        </w:rPr>
        <w:t>,</w:t>
      </w:r>
      <w:proofErr w:type="gramEnd"/>
      <w:r w:rsidRPr="00CA44EA">
        <w:rPr>
          <w:lang w:val="en-US"/>
        </w:rPr>
        <w:t xml:space="preserve"> 2021, focused in a particular theme to be decided with</w:t>
      </w:r>
      <w:r w:rsidR="005348EE" w:rsidRPr="00CA44EA">
        <w:rPr>
          <w:lang w:val="en-US"/>
        </w:rPr>
        <w:t xml:space="preserve"> the gender units/areas. This would</w:t>
      </w:r>
      <w:r w:rsidRPr="00CA44EA">
        <w:rPr>
          <w:lang w:val="en-US"/>
        </w:rPr>
        <w:t xml:space="preserve"> be an activity of the</w:t>
      </w:r>
      <w:r w:rsidR="005348EE" w:rsidRPr="00CA44EA">
        <w:rPr>
          <w:lang w:val="en-US"/>
        </w:rPr>
        <w:t xml:space="preserve"> gender</w:t>
      </w:r>
      <w:r w:rsidRPr="00CA44EA">
        <w:rPr>
          <w:lang w:val="en-US"/>
        </w:rPr>
        <w:t xml:space="preserve"> focal point Network. </w:t>
      </w:r>
    </w:p>
    <w:p w14:paraId="0B0E554A" w14:textId="77777777" w:rsidR="00485988" w:rsidRPr="005348EE" w:rsidRDefault="00485988" w:rsidP="00485988">
      <w:pPr>
        <w:tabs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</w:p>
    <w:p w14:paraId="6580ECF5" w14:textId="39F8FD44" w:rsidR="00285F0D" w:rsidRPr="002F4DE9" w:rsidRDefault="002F4DE9" w:rsidP="00285F0D">
      <w:pPr>
        <w:numPr>
          <w:ilvl w:val="1"/>
          <w:numId w:val="3"/>
        </w:numPr>
        <w:tabs>
          <w:tab w:val="clear" w:pos="1440"/>
          <w:tab w:val="left" w:pos="720"/>
          <w:tab w:val="left" w:pos="2160"/>
          <w:tab w:val="left" w:pos="2880"/>
        </w:tabs>
        <w:spacing w:after="0" w:line="240" w:lineRule="auto"/>
        <w:ind w:left="720" w:right="547"/>
        <w:jc w:val="both"/>
        <w:rPr>
          <w:lang w:val="en-US"/>
        </w:rPr>
      </w:pPr>
      <w:r w:rsidRPr="002F4DE9">
        <w:rPr>
          <w:lang w:val="en-US"/>
        </w:rPr>
        <w:t>The Secret</w:t>
      </w:r>
      <w:r w:rsidR="005348EE">
        <w:rPr>
          <w:lang w:val="en-US"/>
        </w:rPr>
        <w:t>ariat and CIM will continue to w</w:t>
      </w:r>
      <w:r w:rsidRPr="002F4DE9">
        <w:rPr>
          <w:lang w:val="en-US"/>
        </w:rPr>
        <w:t xml:space="preserve">ork </w:t>
      </w:r>
      <w:r>
        <w:rPr>
          <w:lang w:val="en-US"/>
        </w:rPr>
        <w:t>in the virtual course on Gender</w:t>
      </w:r>
      <w:r w:rsidR="005348EE">
        <w:rPr>
          <w:lang w:val="en-US"/>
        </w:rPr>
        <w:t>-based</w:t>
      </w:r>
      <w:r>
        <w:rPr>
          <w:lang w:val="en-US"/>
        </w:rPr>
        <w:t xml:space="preserve"> Violence </w:t>
      </w:r>
      <w:r w:rsidR="005348EE">
        <w:rPr>
          <w:lang w:val="en-US"/>
        </w:rPr>
        <w:t>at Work</w:t>
      </w:r>
      <w:r>
        <w:rPr>
          <w:lang w:val="en-US"/>
        </w:rPr>
        <w:t xml:space="preserve">, hosted by the Educational Portal of the Americas, and to be available during the first semester of 2021. </w:t>
      </w:r>
    </w:p>
    <w:p w14:paraId="7B6DF57C" w14:textId="05F85D0A" w:rsidR="00395B56" w:rsidRPr="002F4DE9" w:rsidRDefault="00395B56" w:rsidP="00395B56">
      <w:pPr>
        <w:tabs>
          <w:tab w:val="left" w:pos="2160"/>
          <w:tab w:val="left" w:pos="2880"/>
        </w:tabs>
        <w:spacing w:after="0" w:line="240" w:lineRule="auto"/>
        <w:ind w:left="360" w:right="547"/>
        <w:jc w:val="both"/>
        <w:rPr>
          <w:lang w:val="en-US"/>
        </w:rPr>
      </w:pPr>
    </w:p>
    <w:p w14:paraId="73A69D4D" w14:textId="0B896F8E" w:rsidR="0042410A" w:rsidRPr="00485988" w:rsidRDefault="0042410A" w:rsidP="002F4DE9">
      <w:pPr>
        <w:tabs>
          <w:tab w:val="left" w:pos="2160"/>
          <w:tab w:val="left" w:pos="2880"/>
        </w:tabs>
        <w:spacing w:after="0" w:line="240" w:lineRule="auto"/>
        <w:ind w:right="547"/>
        <w:jc w:val="both"/>
        <w:rPr>
          <w:lang w:val="en-US"/>
        </w:rPr>
      </w:pPr>
    </w:p>
    <w:sectPr w:rsidR="0042410A" w:rsidRPr="00485988" w:rsidSect="00481D8B">
      <w:headerReference w:type="first" r:id="rId11"/>
      <w:pgSz w:w="12240" w:h="15840"/>
      <w:pgMar w:top="1440" w:right="1800" w:bottom="1440" w:left="18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94B3" w14:textId="77777777" w:rsidR="009C16CD" w:rsidRDefault="009C16CD" w:rsidP="009C16CD">
      <w:pPr>
        <w:spacing w:after="0" w:line="240" w:lineRule="auto"/>
      </w:pPr>
      <w:r>
        <w:separator/>
      </w:r>
    </w:p>
  </w:endnote>
  <w:endnote w:type="continuationSeparator" w:id="0">
    <w:p w14:paraId="5633E241" w14:textId="77777777" w:rsidR="009C16CD" w:rsidRDefault="009C16CD" w:rsidP="009C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4129" w14:textId="77777777" w:rsidR="009C16CD" w:rsidRDefault="009C16CD" w:rsidP="009C16CD">
      <w:pPr>
        <w:spacing w:after="0" w:line="240" w:lineRule="auto"/>
      </w:pPr>
      <w:r>
        <w:separator/>
      </w:r>
    </w:p>
  </w:footnote>
  <w:footnote w:type="continuationSeparator" w:id="0">
    <w:p w14:paraId="2FD0F418" w14:textId="77777777" w:rsidR="009C16CD" w:rsidRDefault="009C16CD" w:rsidP="009C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3F9A" w14:textId="335A4060" w:rsidR="009C16CD" w:rsidRDefault="005F3A2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00181E1" wp14:editId="0DD17A3D">
          <wp:simplePos x="0" y="0"/>
          <wp:positionH relativeFrom="column">
            <wp:posOffset>-751113</wp:posOffset>
          </wp:positionH>
          <wp:positionV relativeFrom="paragraph">
            <wp:posOffset>-243444</wp:posOffset>
          </wp:positionV>
          <wp:extent cx="3141818" cy="831273"/>
          <wp:effectExtent l="0" t="0" r="190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AL e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667" cy="846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027"/>
    <w:multiLevelType w:val="hybridMultilevel"/>
    <w:tmpl w:val="A476B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A53FD"/>
    <w:multiLevelType w:val="hybridMultilevel"/>
    <w:tmpl w:val="B65A42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8682B3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A4BF1"/>
    <w:multiLevelType w:val="hybridMultilevel"/>
    <w:tmpl w:val="51B4C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0115AF"/>
    <w:multiLevelType w:val="hybridMultilevel"/>
    <w:tmpl w:val="596C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2EA5"/>
    <w:multiLevelType w:val="hybridMultilevel"/>
    <w:tmpl w:val="5A90A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5008EB"/>
    <w:multiLevelType w:val="hybridMultilevel"/>
    <w:tmpl w:val="AD201252"/>
    <w:lvl w:ilvl="0" w:tplc="CFB88294">
      <w:start w:val="1"/>
      <w:numFmt w:val="bullet"/>
      <w:lvlText w:val="-"/>
      <w:lvlJc w:val="left"/>
      <w:pPr>
        <w:ind w:left="1776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D"/>
    <w:rsid w:val="00022DDC"/>
    <w:rsid w:val="0004243D"/>
    <w:rsid w:val="000C366D"/>
    <w:rsid w:val="00181E08"/>
    <w:rsid w:val="001C57EB"/>
    <w:rsid w:val="00206884"/>
    <w:rsid w:val="00231F79"/>
    <w:rsid w:val="00240925"/>
    <w:rsid w:val="002607B5"/>
    <w:rsid w:val="00273EB5"/>
    <w:rsid w:val="00285F0D"/>
    <w:rsid w:val="002D65D9"/>
    <w:rsid w:val="002E146D"/>
    <w:rsid w:val="002F4DE9"/>
    <w:rsid w:val="00391A8F"/>
    <w:rsid w:val="00395B56"/>
    <w:rsid w:val="0042410A"/>
    <w:rsid w:val="004658FF"/>
    <w:rsid w:val="00481D8B"/>
    <w:rsid w:val="00485988"/>
    <w:rsid w:val="004D1818"/>
    <w:rsid w:val="005004D9"/>
    <w:rsid w:val="005348EE"/>
    <w:rsid w:val="00583578"/>
    <w:rsid w:val="005F3A2A"/>
    <w:rsid w:val="00693AA0"/>
    <w:rsid w:val="006F45F4"/>
    <w:rsid w:val="007B1BEA"/>
    <w:rsid w:val="007B21FA"/>
    <w:rsid w:val="008D1406"/>
    <w:rsid w:val="009C16CD"/>
    <w:rsid w:val="00A8001B"/>
    <w:rsid w:val="00AC7AC3"/>
    <w:rsid w:val="00B00C0D"/>
    <w:rsid w:val="00B3106A"/>
    <w:rsid w:val="00C366E8"/>
    <w:rsid w:val="00C43E55"/>
    <w:rsid w:val="00CA44EA"/>
    <w:rsid w:val="00CC6E5F"/>
    <w:rsid w:val="00D8102A"/>
    <w:rsid w:val="00D8611E"/>
    <w:rsid w:val="00DC3F8D"/>
    <w:rsid w:val="00DE612F"/>
    <w:rsid w:val="00E510E4"/>
    <w:rsid w:val="00ED348B"/>
    <w:rsid w:val="00EE7E18"/>
    <w:rsid w:val="00F35493"/>
    <w:rsid w:val="00F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5C9A288"/>
  <w15:chartTrackingRefBased/>
  <w15:docId w15:val="{09051F75-01DB-4D36-B3DB-9014819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6CD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6CD"/>
    <w:pPr>
      <w:ind w:left="720"/>
    </w:pPr>
  </w:style>
  <w:style w:type="paragraph" w:customStyle="1" w:styleId="gmail-m-1800969585948859244gmail-msolistparagraph">
    <w:name w:val="gmail-m_-1800969585948859244gmail-msolistparagraph"/>
    <w:basedOn w:val="Normal"/>
    <w:rsid w:val="009C1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qFormat/>
    <w:rsid w:val="009C16CD"/>
    <w:rPr>
      <w:rFonts w:ascii="Calibri" w:hAnsi="Calibri"/>
      <w:sz w:val="22"/>
      <w:szCs w:val="22"/>
      <w:lang w:val="es-ES"/>
    </w:rPr>
  </w:style>
  <w:style w:type="character" w:customStyle="1" w:styleId="NoSpacingChar">
    <w:name w:val="No Spacing Char"/>
    <w:link w:val="NoSpacing"/>
    <w:locked/>
    <w:rsid w:val="009C16CD"/>
    <w:rPr>
      <w:rFonts w:ascii="Calibri" w:hAnsi="Calibri"/>
      <w:sz w:val="22"/>
      <w:szCs w:val="22"/>
      <w:lang w:val="es-ES"/>
    </w:rPr>
  </w:style>
  <w:style w:type="paragraph" w:styleId="Header">
    <w:name w:val="header"/>
    <w:basedOn w:val="Normal"/>
    <w:link w:val="HeaderChar"/>
    <w:rsid w:val="009C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16CD"/>
    <w:rPr>
      <w:rFonts w:ascii="Calibri" w:eastAsia="Calibri" w:hAnsi="Calibri"/>
      <w:sz w:val="22"/>
      <w:szCs w:val="22"/>
      <w:lang w:val="es-ES"/>
    </w:rPr>
  </w:style>
  <w:style w:type="paragraph" w:styleId="Footer">
    <w:name w:val="footer"/>
    <w:basedOn w:val="Normal"/>
    <w:link w:val="FooterChar"/>
    <w:rsid w:val="009C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6CD"/>
    <w:rPr>
      <w:rFonts w:ascii="Calibri" w:eastAsia="Calibri" w:hAnsi="Calibri"/>
      <w:sz w:val="22"/>
      <w:szCs w:val="22"/>
      <w:lang w:val="es-ES"/>
    </w:rPr>
  </w:style>
  <w:style w:type="character" w:styleId="Hyperlink">
    <w:name w:val="Hyperlink"/>
    <w:basedOn w:val="DefaultParagraphFont"/>
    <w:rsid w:val="00D8102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001B"/>
    <w:rPr>
      <w:color w:val="808080"/>
    </w:rPr>
  </w:style>
  <w:style w:type="character" w:styleId="CommentReference">
    <w:name w:val="annotation reference"/>
    <w:basedOn w:val="DefaultParagraphFont"/>
    <w:rsid w:val="002E14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146D"/>
    <w:rPr>
      <w:rFonts w:ascii="Calibri" w:eastAsia="Calibri" w:hAnsi="Calibri"/>
      <w:lang w:val="es-ES"/>
    </w:rPr>
  </w:style>
  <w:style w:type="paragraph" w:styleId="BalloonText">
    <w:name w:val="Balloon Text"/>
    <w:basedOn w:val="Normal"/>
    <w:link w:val="BalloonTextChar"/>
    <w:rsid w:val="002E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146D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CC6E5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ialne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0CFAE-DEF1-432B-823C-6EAB536A8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B0518-BDAC-4BFC-9D1F-1EE2DDD53A63}">
  <ds:schemaRefs>
    <ds:schemaRef ds:uri="http://purl.org/dc/terms/"/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89f4cd83-a2d3-4405-9b45-6aff5241ff8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089461-DE74-4164-BD0C-3448B9056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772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Guillermo</dc:creator>
  <cp:keywords/>
  <dc:description/>
  <cp:lastModifiedBy>Camacho, Maria Claudia</cp:lastModifiedBy>
  <cp:revision>8</cp:revision>
  <dcterms:created xsi:type="dcterms:W3CDTF">2021-05-03T13:51:00Z</dcterms:created>
  <dcterms:modified xsi:type="dcterms:W3CDTF">2021-05-03T14:09:00Z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