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B40D" w14:textId="5D30ED16" w:rsidR="005C5A2E" w:rsidRDefault="005C5A2E" w:rsidP="005C5A2E">
      <w:pPr>
        <w:pStyle w:val="NormalWeb"/>
        <w:spacing w:before="0" w:beforeAutospacing="0" w:after="0" w:afterAutospacing="0" w:line="276" w:lineRule="auto"/>
        <w:jc w:val="center"/>
        <w:rPr>
          <w:rStyle w:val="Strong"/>
          <w:rFonts w:eastAsiaTheme="majorEastAsia"/>
        </w:rPr>
      </w:pPr>
      <w:r>
        <w:rPr>
          <w:rStyle w:val="Strong"/>
          <w:rFonts w:eastAsiaTheme="majorEastAsia"/>
        </w:rPr>
        <w:t>Presentación de la Hon. Emma Hippolyte, Ministra de Equidad, Trabajo, Género, Asuntos de las Personas Mayores, Justicia Social y Protección del Consumidor</w:t>
      </w:r>
    </w:p>
    <w:p w14:paraId="66446CAA" w14:textId="77777777" w:rsidR="005C5A2E" w:rsidRDefault="005C5A2E" w:rsidP="005C5A2E">
      <w:pPr>
        <w:pStyle w:val="NormalWeb"/>
        <w:spacing w:before="0" w:beforeAutospacing="0" w:after="0" w:afterAutospacing="0" w:line="276" w:lineRule="auto"/>
        <w:jc w:val="center"/>
        <w:rPr>
          <w:rStyle w:val="Strong"/>
          <w:rFonts w:eastAsiaTheme="majorEastAsia"/>
          <w:u w:val="single"/>
        </w:rPr>
      </w:pPr>
    </w:p>
    <w:p w14:paraId="7F8FECBA" w14:textId="02C055D0" w:rsidR="005C5A2E" w:rsidRDefault="005C5A2E" w:rsidP="005C5A2E">
      <w:pPr>
        <w:pStyle w:val="NormalWeb"/>
        <w:spacing w:before="0" w:beforeAutospacing="0" w:after="0" w:afterAutospacing="0" w:line="276" w:lineRule="auto"/>
        <w:jc w:val="center"/>
        <w:rPr>
          <w:rStyle w:val="Strong"/>
          <w:rFonts w:eastAsiaTheme="majorEastAsia"/>
          <w:b w:val="0"/>
          <w:bCs w:val="0"/>
          <w:u w:val="single"/>
        </w:rPr>
      </w:pPr>
      <w:r w:rsidRPr="005C5A2E">
        <w:rPr>
          <w:rStyle w:val="Strong"/>
          <w:rFonts w:eastAsiaTheme="majorEastAsia"/>
          <w:b w:val="0"/>
          <w:bCs w:val="0"/>
          <w:u w:val="single"/>
        </w:rPr>
        <w:t>Formación, Recapacitación y Perfeccionamiento para Empleos Verdes y Azules</w:t>
      </w:r>
    </w:p>
    <w:p w14:paraId="39E938EE" w14:textId="77777777" w:rsidR="005C5A2E" w:rsidRPr="005C5A2E" w:rsidRDefault="005C5A2E" w:rsidP="005C5A2E">
      <w:pPr>
        <w:pStyle w:val="NormalWeb"/>
        <w:spacing w:before="0" w:beforeAutospacing="0" w:after="0" w:afterAutospacing="0" w:line="276" w:lineRule="auto"/>
        <w:jc w:val="both"/>
        <w:rPr>
          <w:b/>
          <w:bCs/>
        </w:rPr>
      </w:pPr>
    </w:p>
    <w:p w14:paraId="4F7998A0" w14:textId="55D23530" w:rsidR="005C5A2E" w:rsidRDefault="005C5A2E" w:rsidP="005C5A2E">
      <w:pPr>
        <w:pStyle w:val="NormalWeb"/>
        <w:spacing w:before="0" w:beforeAutospacing="0" w:after="0" w:afterAutospacing="0" w:line="276" w:lineRule="auto"/>
        <w:jc w:val="both"/>
      </w:pPr>
      <w:r>
        <w:t xml:space="preserve">Buenos días, distinguidos colegas, Ministros y estimados </w:t>
      </w:r>
      <w:r>
        <w:t>compañeros</w:t>
      </w:r>
      <w:r>
        <w:t>. Es un honor acompañarlos y representar a Santa Lucía en esta discusión crucial sobre la construcción de la fuerza laboral que nuestra región necesita para un futuro sostenible. Hoy compartiré nuestro enfoque estratégico para la formación, recapacitación y perfeccionamiento de trabajadores para las economías verde y azul; sectores que no solo son vitales para nuestra resiliencia climática, sino también para la creación de empleos decentes y productivos en todo el Caribe.</w:t>
      </w:r>
    </w:p>
    <w:p w14:paraId="25A1C4B1" w14:textId="77777777" w:rsidR="005C5A2E" w:rsidRDefault="005C5A2E" w:rsidP="005C5A2E">
      <w:pPr>
        <w:pStyle w:val="NormalWeb"/>
        <w:spacing w:before="0" w:beforeAutospacing="0" w:after="0" w:afterAutospacing="0" w:line="276" w:lineRule="auto"/>
        <w:jc w:val="both"/>
      </w:pPr>
    </w:p>
    <w:p w14:paraId="06E1121D" w14:textId="77777777" w:rsidR="005C5A2E" w:rsidRDefault="005C5A2E" w:rsidP="005C5A2E">
      <w:pPr>
        <w:pStyle w:val="NormalWeb"/>
        <w:spacing w:before="0" w:beforeAutospacing="0" w:after="0" w:afterAutospacing="0" w:line="276" w:lineRule="auto"/>
        <w:jc w:val="both"/>
      </w:pPr>
      <w:r>
        <w:t>En Santa Lucía hemos construido una sólida base institucional para avanzar en esta agenda de habilidades. Hemos establecido un marco institucional claro, anclado en dos organismos clave: la Coalición de Santa Lucía para la Educación y Formación Técnica y Profesional (SLCTVET) y el Departamento de Trabajo.</w:t>
      </w:r>
    </w:p>
    <w:p w14:paraId="03435E30" w14:textId="77777777" w:rsidR="005C5A2E" w:rsidRDefault="005C5A2E" w:rsidP="005C5A2E">
      <w:pPr>
        <w:pStyle w:val="NormalWeb"/>
        <w:spacing w:before="0" w:beforeAutospacing="0" w:after="0" w:afterAutospacing="0" w:line="276" w:lineRule="auto"/>
        <w:jc w:val="both"/>
      </w:pPr>
    </w:p>
    <w:p w14:paraId="038089CD" w14:textId="77777777" w:rsidR="005C5A2E" w:rsidRDefault="005C5A2E" w:rsidP="005C5A2E">
      <w:pPr>
        <w:pStyle w:val="NormalWeb"/>
        <w:spacing w:before="0" w:beforeAutospacing="0" w:after="0" w:afterAutospacing="0" w:line="276" w:lineRule="auto"/>
        <w:jc w:val="both"/>
      </w:pPr>
      <w:r>
        <w:t>Si bien el Departamento de Trabajo no ejecuta directamente los programas, junto con el Consejo de TVET garantizamos la calidad, pertinencia y coordinación en todo nuestro ecosistema de competencias.</w:t>
      </w:r>
    </w:p>
    <w:p w14:paraId="55F968BF" w14:textId="77777777" w:rsidR="005C5A2E" w:rsidRDefault="005C5A2E" w:rsidP="005C5A2E">
      <w:pPr>
        <w:pStyle w:val="NormalWeb"/>
        <w:spacing w:before="0" w:beforeAutospacing="0" w:after="0" w:afterAutospacing="0" w:line="276" w:lineRule="auto"/>
        <w:jc w:val="both"/>
      </w:pPr>
    </w:p>
    <w:p w14:paraId="753337D7" w14:textId="77777777" w:rsidR="005C5A2E" w:rsidRDefault="005C5A2E" w:rsidP="005C5A2E">
      <w:pPr>
        <w:pStyle w:val="NormalWeb"/>
        <w:spacing w:before="0" w:beforeAutospacing="0" w:after="0" w:afterAutospacing="0" w:line="276" w:lineRule="auto"/>
        <w:jc w:val="both"/>
      </w:pPr>
      <w:r>
        <w:t>Nuestro enfoque para el desarrollo de habilidades en empleos verdes y azules se basa en cuatro pilares estratégicos que orientan todos nuestros programas y políticas: anticipación de habilidades, formación focalizada, equidad e inclusión, y colaboración regional.</w:t>
      </w:r>
    </w:p>
    <w:p w14:paraId="5DED6643" w14:textId="77777777" w:rsidR="005C5A2E" w:rsidRDefault="005C5A2E" w:rsidP="005C5A2E">
      <w:pPr>
        <w:pStyle w:val="NormalWeb"/>
        <w:spacing w:before="0" w:beforeAutospacing="0" w:after="0" w:afterAutospacing="0" w:line="276" w:lineRule="auto"/>
        <w:jc w:val="both"/>
      </w:pPr>
    </w:p>
    <w:p w14:paraId="48F2200D" w14:textId="74D56C5F" w:rsidR="005C5A2E" w:rsidRDefault="005C5A2E" w:rsidP="005C5A2E">
      <w:pPr>
        <w:pStyle w:val="NormalWeb"/>
        <w:spacing w:before="0" w:beforeAutospacing="0" w:after="0" w:afterAutospacing="0" w:line="276" w:lineRule="auto"/>
        <w:jc w:val="both"/>
      </w:pPr>
      <w:r>
        <w:t xml:space="preserve">Estos principios rectores nos han permitido alcanzar logros significativos, entre ellos el Programa de </w:t>
      </w:r>
      <w:r>
        <w:t>Formación</w:t>
      </w:r>
      <w:r>
        <w:t xml:space="preserve"> “Skills for the Advancement of the Green Economy” (SAGE). Este programa de mentoría empresarial se centra en construcción verde, instalación de sistemas solares fotovoltaicos, eficiencia energética y operaciones sostenibles; todas competencias fundamentales para nuestra transición hacia una economía baja en carbono. SAGE ha certificado a más de 180 trabajadores en la región del Caribe, de los cuales 40 son trabajadores de Santa Lucía.</w:t>
      </w:r>
    </w:p>
    <w:p w14:paraId="7AAF89AD" w14:textId="77777777" w:rsidR="005C5A2E" w:rsidRDefault="005C5A2E" w:rsidP="005C5A2E">
      <w:pPr>
        <w:pStyle w:val="NormalWeb"/>
        <w:spacing w:before="0" w:beforeAutospacing="0" w:after="0" w:afterAutospacing="0" w:line="276" w:lineRule="auto"/>
        <w:jc w:val="both"/>
      </w:pPr>
    </w:p>
    <w:p w14:paraId="0BC4709C" w14:textId="77777777" w:rsidR="005C5A2E" w:rsidRDefault="005C5A2E" w:rsidP="005C5A2E">
      <w:pPr>
        <w:pStyle w:val="NormalWeb"/>
        <w:spacing w:before="0" w:beforeAutospacing="0" w:after="0" w:afterAutospacing="0" w:line="276" w:lineRule="auto"/>
        <w:jc w:val="both"/>
      </w:pPr>
      <w:r>
        <w:t>También hemos priorizado el cierre de brechas de género en áreas STEM mediante el Programa de Becas para el Desarrollo del Sector de Energías Renovables (RESDP). La equidad de género es central en nuestra estrategia de habilidades, y este programa busca abordar la subrepresentación de las mujeres en STEM. Entre 2022 y 2025, otorgamos 32 becas a mujeres que cursan programas de grado y certificaciones profesionales en energías renovables, ciencias ambientales, estudios marinos y datos/TIC para la sostenibilidad.</w:t>
      </w:r>
    </w:p>
    <w:p w14:paraId="18687DAF" w14:textId="77777777" w:rsidR="005C5A2E" w:rsidRDefault="005C5A2E" w:rsidP="005C5A2E">
      <w:pPr>
        <w:pStyle w:val="NormalWeb"/>
        <w:spacing w:before="0" w:beforeAutospacing="0" w:after="0" w:afterAutospacing="0" w:line="276" w:lineRule="auto"/>
        <w:jc w:val="both"/>
      </w:pPr>
    </w:p>
    <w:p w14:paraId="0A20DB01" w14:textId="77777777" w:rsidR="005C5A2E" w:rsidRDefault="005C5A2E" w:rsidP="005C5A2E">
      <w:pPr>
        <w:pStyle w:val="NormalWeb"/>
        <w:spacing w:before="0" w:beforeAutospacing="0" w:after="0" w:afterAutospacing="0" w:line="276" w:lineRule="auto"/>
        <w:jc w:val="both"/>
      </w:pPr>
      <w:r>
        <w:lastRenderedPageBreak/>
        <w:t>Para promover la sostenibilidad, el Programa de Inversión Juvenil en Agricultura y Habilidades (YASIP), junto con la formación en finanzas sostenibles, se centra en jóvenes en agricultura climáticamente inteligente; capacitando a la juventud en agroemprendimiento, agregación de valor y prácticas agrícolas sostenibles.</w:t>
      </w:r>
    </w:p>
    <w:p w14:paraId="50A2C32B" w14:textId="77777777" w:rsidR="005C5A2E" w:rsidRDefault="005C5A2E" w:rsidP="005C5A2E">
      <w:pPr>
        <w:pStyle w:val="NormalWeb"/>
        <w:spacing w:before="0" w:beforeAutospacing="0" w:after="0" w:afterAutospacing="0" w:line="276" w:lineRule="auto"/>
        <w:jc w:val="both"/>
      </w:pPr>
    </w:p>
    <w:p w14:paraId="297E7009" w14:textId="77777777" w:rsidR="005C5A2E" w:rsidRDefault="005C5A2E" w:rsidP="005C5A2E">
      <w:pPr>
        <w:pStyle w:val="NormalWeb"/>
        <w:spacing w:before="0" w:beforeAutospacing="0" w:after="0" w:afterAutospacing="0" w:line="276" w:lineRule="auto"/>
        <w:jc w:val="both"/>
      </w:pPr>
      <w:r>
        <w:t>Hemos capacitado a más de 15 profesionales del sector financiero en criterios ambientales, sociales y de gobernanza (ESG) y herramientas de financiamiento climático, permitiendo así que las instituciones financieras evalúen y financien proyectos verdes y azules.</w:t>
      </w:r>
    </w:p>
    <w:p w14:paraId="48A830A3" w14:textId="77777777" w:rsidR="005C5A2E" w:rsidRDefault="005C5A2E" w:rsidP="005C5A2E">
      <w:pPr>
        <w:pStyle w:val="NormalWeb"/>
        <w:spacing w:before="0" w:beforeAutospacing="0" w:after="0" w:afterAutospacing="0" w:line="276" w:lineRule="auto"/>
        <w:jc w:val="both"/>
      </w:pPr>
    </w:p>
    <w:p w14:paraId="729CC55C" w14:textId="77777777" w:rsidR="005C5A2E" w:rsidRDefault="005C5A2E" w:rsidP="005C5A2E">
      <w:pPr>
        <w:pStyle w:val="NormalWeb"/>
        <w:spacing w:before="0" w:beforeAutospacing="0" w:after="0" w:afterAutospacing="0" w:line="276" w:lineRule="auto"/>
        <w:jc w:val="both"/>
      </w:pPr>
      <w:r>
        <w:t>Más allá de nuestros programas formales de formación, Santa Lucía ha sido testigo del surgimiento de proyectos innovadores que ejemplifican el potencial transformador de los enfoques de economía verde y azul combinados con inclusión social. El Proyecto Piloto de Empleo Agroempresarial “Boys-to-Men Mushroom”, implementado a través de nuestra Agencia de Economía Juvenil en alianza con el Banco de Desarrollo del Caribe, ha capacitado a 50 jóvenes vulnerables en el cultivo de hongos y gestión agroempresarial.</w:t>
      </w:r>
    </w:p>
    <w:p w14:paraId="08AF999B" w14:textId="77777777" w:rsidR="005C5A2E" w:rsidRDefault="005C5A2E" w:rsidP="005C5A2E">
      <w:pPr>
        <w:pStyle w:val="NormalWeb"/>
        <w:spacing w:before="0" w:beforeAutospacing="0" w:after="0" w:afterAutospacing="0" w:line="276" w:lineRule="auto"/>
        <w:jc w:val="both"/>
      </w:pPr>
    </w:p>
    <w:p w14:paraId="034C4E31" w14:textId="77777777" w:rsidR="005C5A2E" w:rsidRDefault="005C5A2E" w:rsidP="005C5A2E">
      <w:pPr>
        <w:pStyle w:val="NormalWeb"/>
        <w:spacing w:before="0" w:beforeAutospacing="0" w:after="0" w:afterAutospacing="0" w:line="276" w:lineRule="auto"/>
        <w:jc w:val="both"/>
      </w:pPr>
      <w:r>
        <w:t>Igualmente innovador es el proyecto “Aquaponía Inclusiva para una Santa Lucía Resiliente”, la primera instalación de acuaponía del país totalmente liderada y operada por personas con discapacidad. Este sistema ejemplifica la convergencia verde-azul al conservar agua mediante el reciclaje de nutrientes entre peces y plantas, eliminar fertilizantes químicos y generar empleo digno para más de 40 personas con discapacidad, produciendo lechuga orgánica bajo la marca Organic-Able.</w:t>
      </w:r>
    </w:p>
    <w:p w14:paraId="689931EE" w14:textId="77777777" w:rsidR="005C5A2E" w:rsidRDefault="005C5A2E" w:rsidP="005C5A2E">
      <w:pPr>
        <w:pStyle w:val="NormalWeb"/>
        <w:spacing w:before="0" w:beforeAutospacing="0" w:after="0" w:afterAutospacing="0" w:line="276" w:lineRule="auto"/>
        <w:jc w:val="both"/>
      </w:pPr>
    </w:p>
    <w:p w14:paraId="21605358" w14:textId="77777777" w:rsidR="005C5A2E" w:rsidRDefault="005C5A2E" w:rsidP="005C5A2E">
      <w:pPr>
        <w:pStyle w:val="NormalWeb"/>
        <w:spacing w:before="0" w:beforeAutospacing="0" w:after="0" w:afterAutospacing="0" w:line="276" w:lineRule="auto"/>
        <w:jc w:val="both"/>
      </w:pPr>
      <w:r>
        <w:t>A pesar de estos éxitos, enfrentamos desafíos reales que requieren reconocimiento honesto y colaboración regional para ser abordados.</w:t>
      </w:r>
    </w:p>
    <w:p w14:paraId="7D8A462B" w14:textId="77777777" w:rsidR="005C5A2E" w:rsidRDefault="005C5A2E" w:rsidP="005C5A2E">
      <w:pPr>
        <w:pStyle w:val="NormalWeb"/>
        <w:spacing w:before="0" w:beforeAutospacing="0" w:after="0" w:afterAutospacing="0" w:line="276" w:lineRule="auto"/>
        <w:jc w:val="both"/>
      </w:pPr>
    </w:p>
    <w:p w14:paraId="076A0A87" w14:textId="77777777" w:rsidR="005C5A2E" w:rsidRDefault="005C5A2E" w:rsidP="005C5A2E">
      <w:pPr>
        <w:pStyle w:val="NormalWeb"/>
        <w:spacing w:before="0" w:beforeAutospacing="0" w:after="0" w:afterAutospacing="0" w:line="276" w:lineRule="auto"/>
        <w:jc w:val="both"/>
      </w:pPr>
      <w:r>
        <w:t>La demanda de habilidades verdes y azules supera con creces nuestra capacidad actual de formación. Simplemente no podemos capacitar trabajadores con la suficiente rapidez para satisfacer las necesidades de una economía en rápida transformación. Necesitamos más recursos, más formadores calificados, más equipamiento, más centros de formación y mayor financiamiento.</w:t>
      </w:r>
    </w:p>
    <w:p w14:paraId="33F40267" w14:textId="77777777" w:rsidR="005C5A2E" w:rsidRDefault="005C5A2E" w:rsidP="005C5A2E">
      <w:pPr>
        <w:pStyle w:val="NormalWeb"/>
        <w:spacing w:before="0" w:beforeAutospacing="0" w:after="0" w:afterAutospacing="0" w:line="276" w:lineRule="auto"/>
        <w:jc w:val="both"/>
      </w:pPr>
    </w:p>
    <w:p w14:paraId="0A227FF7" w14:textId="77777777" w:rsidR="005C5A2E" w:rsidRDefault="005C5A2E" w:rsidP="005C5A2E">
      <w:pPr>
        <w:pStyle w:val="NormalWeb"/>
        <w:spacing w:before="0" w:beforeAutospacing="0" w:after="0" w:afterAutospacing="0" w:line="276" w:lineRule="auto"/>
        <w:jc w:val="both"/>
      </w:pPr>
      <w:r>
        <w:t>Además, persisten las brechas de género. Las mujeres siguen subrepresentadas en los sectores STEM y de economía azul. La segregación ocupacional está profundamente arraigada y cambiarla requiere intervenciones sostenidas y multifacéticas.</w:t>
      </w:r>
    </w:p>
    <w:p w14:paraId="13238518" w14:textId="77777777" w:rsidR="005C5A2E" w:rsidRDefault="005C5A2E" w:rsidP="005C5A2E">
      <w:pPr>
        <w:pStyle w:val="NormalWeb"/>
        <w:spacing w:before="0" w:beforeAutospacing="0" w:after="0" w:afterAutospacing="0" w:line="276" w:lineRule="auto"/>
        <w:jc w:val="both"/>
      </w:pPr>
    </w:p>
    <w:p w14:paraId="6893CC91" w14:textId="77777777" w:rsidR="005C5A2E" w:rsidRDefault="005C5A2E" w:rsidP="005C5A2E">
      <w:pPr>
        <w:pStyle w:val="NormalWeb"/>
        <w:spacing w:before="0" w:beforeAutospacing="0" w:after="0" w:afterAutospacing="0" w:line="276" w:lineRule="auto"/>
        <w:jc w:val="both"/>
      </w:pPr>
      <w:r>
        <w:t>Las brechas de datos limitan nuestra capacidad de planificación efectiva. Necesitamos sistemas más sólidos de información del mercado laboral y estudios de seguimiento de egresados para evaluar resultados e informar el diseño curricular.</w:t>
      </w:r>
    </w:p>
    <w:p w14:paraId="5808A591" w14:textId="77777777" w:rsidR="005C5A2E" w:rsidRDefault="005C5A2E" w:rsidP="005C5A2E">
      <w:pPr>
        <w:pStyle w:val="NormalWeb"/>
        <w:spacing w:before="0" w:beforeAutospacing="0" w:after="0" w:afterAutospacing="0" w:line="276" w:lineRule="auto"/>
        <w:jc w:val="both"/>
      </w:pPr>
    </w:p>
    <w:p w14:paraId="091BCC77" w14:textId="77777777" w:rsidR="005C5A2E" w:rsidRDefault="005C5A2E" w:rsidP="005C5A2E">
      <w:pPr>
        <w:pStyle w:val="NormalWeb"/>
        <w:spacing w:before="0" w:beforeAutospacing="0" w:after="0" w:afterAutospacing="0" w:line="276" w:lineRule="auto"/>
        <w:jc w:val="both"/>
      </w:pPr>
      <w:r>
        <w:lastRenderedPageBreak/>
        <w:t>Estos desafíos son realidades que deben abordarse mediante cooperación regional, financiamiento innovador y compromiso político. Ningún país puede resolverlos por sí solo.</w:t>
      </w:r>
    </w:p>
    <w:p w14:paraId="0A7FB964" w14:textId="77777777" w:rsidR="005C5A2E" w:rsidRDefault="005C5A2E" w:rsidP="005C5A2E">
      <w:pPr>
        <w:pStyle w:val="NormalWeb"/>
        <w:spacing w:before="0" w:beforeAutospacing="0" w:after="0" w:afterAutospacing="0" w:line="276" w:lineRule="auto"/>
        <w:jc w:val="both"/>
      </w:pPr>
      <w:r>
        <w:t>Reconociendo estos retos, hemos identificado cuatro prioridades estratégicas que guiarán nuestro trabajo y en las que buscamos alianzas regionales.</w:t>
      </w:r>
    </w:p>
    <w:p w14:paraId="34290BCA" w14:textId="77777777" w:rsidR="005C5A2E" w:rsidRDefault="005C5A2E" w:rsidP="005C5A2E">
      <w:pPr>
        <w:pStyle w:val="NormalWeb"/>
        <w:spacing w:before="0" w:beforeAutospacing="0" w:after="0" w:afterAutospacing="0" w:line="276" w:lineRule="auto"/>
        <w:jc w:val="both"/>
      </w:pPr>
    </w:p>
    <w:p w14:paraId="60F7E1BB" w14:textId="77777777" w:rsidR="005C5A2E" w:rsidRDefault="005C5A2E" w:rsidP="005C5A2E">
      <w:pPr>
        <w:pStyle w:val="NormalWeb"/>
        <w:spacing w:before="0" w:beforeAutospacing="0" w:after="0" w:afterAutospacing="0" w:line="276" w:lineRule="auto"/>
        <w:jc w:val="both"/>
      </w:pPr>
      <w:r>
        <w:t>Estamos desarrollando una Estrategia Nacional de Desarrollo de Competencias con un enfoque específico en habilidades verdes y azules. Esto incluirá el fortalecimiento de nuestro Sistema de Información del Mercado Laboral, el mejoramiento de los mecanismos de aseguramiento de la calidad y el establecimiento de metas claras alineadas con nuestros compromisos climáticos.</w:t>
      </w:r>
    </w:p>
    <w:p w14:paraId="209BA9D0" w14:textId="77777777" w:rsidR="005C5A2E" w:rsidRDefault="005C5A2E" w:rsidP="005C5A2E">
      <w:pPr>
        <w:pStyle w:val="NormalWeb"/>
        <w:spacing w:before="0" w:beforeAutospacing="0" w:after="0" w:afterAutospacing="0" w:line="276" w:lineRule="auto"/>
        <w:jc w:val="both"/>
      </w:pPr>
      <w:r>
        <w:t>Estamos profundizando las alianzas con el sector privado y ampliando los programas de aprendizaje. Los empleadores deben estar en el centro del desarrollo de habilidades; ellos conocen las competencias necesarias y proporcionan los entornos de aprendizaje laboral que hacen efectiva la formación.</w:t>
      </w:r>
    </w:p>
    <w:p w14:paraId="5670255A" w14:textId="77777777" w:rsidR="005C5A2E" w:rsidRDefault="005C5A2E" w:rsidP="005C5A2E">
      <w:pPr>
        <w:pStyle w:val="NormalWeb"/>
        <w:spacing w:before="0" w:beforeAutospacing="0" w:after="0" w:afterAutospacing="0" w:line="276" w:lineRule="auto"/>
        <w:jc w:val="both"/>
      </w:pPr>
    </w:p>
    <w:p w14:paraId="0ECE531A" w14:textId="77777777" w:rsidR="005C5A2E" w:rsidRDefault="005C5A2E" w:rsidP="005C5A2E">
      <w:pPr>
        <w:pStyle w:val="NormalWeb"/>
        <w:spacing w:before="0" w:beforeAutospacing="0" w:after="0" w:afterAutospacing="0" w:line="276" w:lineRule="auto"/>
        <w:jc w:val="both"/>
      </w:pPr>
      <w:r>
        <w:t>También estamos trabajando a través de CARICOM para establecer marcos regionales de certificación y portabilidad de calificaciones. Los trabajadores deben poder movilizarse por la región con credenciales reconocidas. Asimismo, exploramos la creación de centros regionales de excelencia donde los países compartan recursos para formación especializada.</w:t>
      </w:r>
    </w:p>
    <w:p w14:paraId="2378260D" w14:textId="77777777" w:rsidR="005C5A2E" w:rsidRDefault="005C5A2E" w:rsidP="005C5A2E">
      <w:pPr>
        <w:pStyle w:val="NormalWeb"/>
        <w:spacing w:before="0" w:beforeAutospacing="0" w:after="0" w:afterAutospacing="0" w:line="276" w:lineRule="auto"/>
        <w:jc w:val="both"/>
      </w:pPr>
    </w:p>
    <w:p w14:paraId="1C56CB50" w14:textId="77777777" w:rsidR="005C5A2E" w:rsidRDefault="005C5A2E" w:rsidP="005C5A2E">
      <w:pPr>
        <w:pStyle w:val="NormalWeb"/>
        <w:spacing w:before="0" w:beforeAutospacing="0" w:after="0" w:afterAutospacing="0" w:line="276" w:lineRule="auto"/>
        <w:jc w:val="both"/>
      </w:pPr>
      <w:r>
        <w:t>Además, buscamos financiamiento climático para respaldar infraestructura de formación, equipamiento y apoyos de inclusión como estipendios y servicios de cuidado infantil. Las transiciones verde y azul requieren inversión en las personas, no solo en tecnología.</w:t>
      </w:r>
    </w:p>
    <w:p w14:paraId="48C27EC0" w14:textId="77777777" w:rsidR="005C5A2E" w:rsidRDefault="005C5A2E" w:rsidP="005C5A2E">
      <w:pPr>
        <w:pStyle w:val="NormalWeb"/>
        <w:spacing w:before="0" w:beforeAutospacing="0" w:after="0" w:afterAutospacing="0" w:line="276" w:lineRule="auto"/>
        <w:jc w:val="both"/>
      </w:pPr>
      <w:r>
        <w:t>Estas prioridades no pueden alcanzarse solo por Santa Lucía. Necesitamos colaboración regional, estándares compartidos, programas conjuntos de formación y una incidencia coordinada para el financiamiento climático que incluya el desarrollo de habilidades. Esta es una oportunidad para que los ministros de trabajo del Caribe lideren la construcción de la fuerza laboral que nuestra región necesita para un futuro sostenible y próspero.</w:t>
      </w:r>
    </w:p>
    <w:p w14:paraId="07B5C8EE" w14:textId="77777777" w:rsidR="005C5A2E" w:rsidRDefault="005C5A2E" w:rsidP="005C5A2E">
      <w:pPr>
        <w:pStyle w:val="NormalWeb"/>
        <w:spacing w:before="0" w:beforeAutospacing="0" w:after="0" w:afterAutospacing="0" w:line="276" w:lineRule="auto"/>
        <w:jc w:val="both"/>
      </w:pPr>
    </w:p>
    <w:p w14:paraId="6885588D" w14:textId="77777777" w:rsidR="005C5A2E" w:rsidRDefault="005C5A2E" w:rsidP="005C5A2E">
      <w:pPr>
        <w:pStyle w:val="NormalWeb"/>
        <w:spacing w:before="0" w:beforeAutospacing="0" w:after="0" w:afterAutospacing="0" w:line="276" w:lineRule="auto"/>
        <w:jc w:val="both"/>
      </w:pPr>
      <w:r>
        <w:t>La transición hacia economías verde y azul no se trata únicamente de tecnología o capital; se trata fundamentalmente de personas y habilidades. Si invertimos en formación, recapacitación y perfeccionamiento de nuestros trabajadores, podemos transformar la vulnerabilidad climática en oportunidad económica, crear empleos decentes y construir un Caribe más resiliente. Santa Lucía está comprometida con este trabajo y esperamos profundizar nuestra colaboración con todos ustedes. Muchas gracias.</w:t>
      </w:r>
    </w:p>
    <w:p w14:paraId="3BC4DE71" w14:textId="77777777" w:rsidR="00D054A9" w:rsidRDefault="00D054A9" w:rsidP="005C5A2E">
      <w:pPr>
        <w:spacing w:after="0" w:line="276" w:lineRule="auto"/>
      </w:pPr>
    </w:p>
    <w:sectPr w:rsidR="00D054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2E"/>
    <w:rsid w:val="001F6C41"/>
    <w:rsid w:val="00474DD1"/>
    <w:rsid w:val="00502917"/>
    <w:rsid w:val="005C5A2E"/>
    <w:rsid w:val="009A014F"/>
    <w:rsid w:val="00C255D7"/>
    <w:rsid w:val="00D054A9"/>
  </w:rsids>
  <m:mathPr>
    <m:mathFont m:val="Cambria Math"/>
    <m:brkBin m:val="before"/>
    <m:brkBinSub m:val="--"/>
    <m:smallFrac m:val="0"/>
    <m:dispDef/>
    <m:lMargin m:val="0"/>
    <m:rMargin m:val="0"/>
    <m:defJc m:val="centerGroup"/>
    <m:wrapIndent m:val="1440"/>
    <m:intLim m:val="subSup"/>
    <m:naryLim m:val="undOvr"/>
  </m:mathPr>
  <w:themeFontLang w:val="en-MX" w:bidi="ar-SA"/>
  <w:clrSchemeMapping w:bg1="light1" w:t1="dark1" w:bg2="light2" w:t2="dark2" w:accent1="accent1" w:accent2="accent2" w:accent3="accent3" w:accent4="accent4" w:accent5="accent5" w:accent6="accent6" w:hyperlink="hyperlink" w:followedHyperlink="followedHyperlink"/>
  <w:decimalSymbol w:val="."/>
  <w:listSeparator w:val=","/>
  <w14:docId w14:val="42394057"/>
  <w15:chartTrackingRefBased/>
  <w15:docId w15:val="{88D8731B-D411-0749-80D3-5644F27A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A2E"/>
    <w:rPr>
      <w:rFonts w:eastAsiaTheme="majorEastAsia" w:cstheme="majorBidi"/>
      <w:color w:val="272727" w:themeColor="text1" w:themeTint="D8"/>
    </w:rPr>
  </w:style>
  <w:style w:type="paragraph" w:styleId="Title">
    <w:name w:val="Title"/>
    <w:basedOn w:val="Normal"/>
    <w:next w:val="Normal"/>
    <w:link w:val="TitleChar"/>
    <w:uiPriority w:val="10"/>
    <w:qFormat/>
    <w:rsid w:val="005C5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A2E"/>
    <w:pPr>
      <w:spacing w:before="160"/>
      <w:jc w:val="center"/>
    </w:pPr>
    <w:rPr>
      <w:i/>
      <w:iCs/>
      <w:color w:val="404040" w:themeColor="text1" w:themeTint="BF"/>
    </w:rPr>
  </w:style>
  <w:style w:type="character" w:customStyle="1" w:styleId="QuoteChar">
    <w:name w:val="Quote Char"/>
    <w:basedOn w:val="DefaultParagraphFont"/>
    <w:link w:val="Quote"/>
    <w:uiPriority w:val="29"/>
    <w:rsid w:val="005C5A2E"/>
    <w:rPr>
      <w:i/>
      <w:iCs/>
      <w:color w:val="404040" w:themeColor="text1" w:themeTint="BF"/>
    </w:rPr>
  </w:style>
  <w:style w:type="paragraph" w:styleId="ListParagraph">
    <w:name w:val="List Paragraph"/>
    <w:basedOn w:val="Normal"/>
    <w:uiPriority w:val="34"/>
    <w:qFormat/>
    <w:rsid w:val="005C5A2E"/>
    <w:pPr>
      <w:ind w:left="720"/>
      <w:contextualSpacing/>
    </w:pPr>
  </w:style>
  <w:style w:type="character" w:styleId="IntenseEmphasis">
    <w:name w:val="Intense Emphasis"/>
    <w:basedOn w:val="DefaultParagraphFont"/>
    <w:uiPriority w:val="21"/>
    <w:qFormat/>
    <w:rsid w:val="005C5A2E"/>
    <w:rPr>
      <w:i/>
      <w:iCs/>
      <w:color w:val="0F4761" w:themeColor="accent1" w:themeShade="BF"/>
    </w:rPr>
  </w:style>
  <w:style w:type="paragraph" w:styleId="IntenseQuote">
    <w:name w:val="Intense Quote"/>
    <w:basedOn w:val="Normal"/>
    <w:next w:val="Normal"/>
    <w:link w:val="IntenseQuoteChar"/>
    <w:uiPriority w:val="30"/>
    <w:qFormat/>
    <w:rsid w:val="005C5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A2E"/>
    <w:rPr>
      <w:i/>
      <w:iCs/>
      <w:color w:val="0F4761" w:themeColor="accent1" w:themeShade="BF"/>
    </w:rPr>
  </w:style>
  <w:style w:type="character" w:styleId="IntenseReference">
    <w:name w:val="Intense Reference"/>
    <w:basedOn w:val="DefaultParagraphFont"/>
    <w:uiPriority w:val="32"/>
    <w:qFormat/>
    <w:rsid w:val="005C5A2E"/>
    <w:rPr>
      <w:b/>
      <w:bCs/>
      <w:smallCaps/>
      <w:color w:val="0F4761" w:themeColor="accent1" w:themeShade="BF"/>
      <w:spacing w:val="5"/>
    </w:rPr>
  </w:style>
  <w:style w:type="paragraph" w:styleId="NormalWeb">
    <w:name w:val="Normal (Web)"/>
    <w:basedOn w:val="Normal"/>
    <w:uiPriority w:val="99"/>
    <w:semiHidden/>
    <w:unhideWhenUsed/>
    <w:rsid w:val="005C5A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5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37e7e60e7eab3b13eb2218cd73d5f2a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06a4352b18409188a32c06a08f80cb6"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144B06-96A7-4487-8F7E-20BBC64CA766}"/>
</file>

<file path=customXml/itemProps2.xml><?xml version="1.0" encoding="utf-8"?>
<ds:datastoreItem xmlns:ds="http://schemas.openxmlformats.org/officeDocument/2006/customXml" ds:itemID="{71257F3E-48AB-423E-AAC6-83F2BA4AB717}"/>
</file>

<file path=customXml/itemProps3.xml><?xml version="1.0" encoding="utf-8"?>
<ds:datastoreItem xmlns:ds="http://schemas.openxmlformats.org/officeDocument/2006/customXml" ds:itemID="{0944094F-0811-408D-9982-A19FC61C3D73}"/>
</file>

<file path=docProps/app.xml><?xml version="1.0" encoding="utf-8"?>
<Properties xmlns="http://schemas.openxmlformats.org/officeDocument/2006/extended-properties" xmlns:vt="http://schemas.openxmlformats.org/officeDocument/2006/docPropsVTypes">
  <Template>Normal.dotm</Template>
  <TotalTime>4</TotalTime>
  <Pages>3</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DHDEE Intern 1 (Jimenez, Katy)</dc:creator>
  <cp:keywords/>
  <dc:description/>
  <cp:lastModifiedBy>DHDEE Intern 1 (Jimenez, Katy)</cp:lastModifiedBy>
  <cp:revision>1</cp:revision>
  <dcterms:created xsi:type="dcterms:W3CDTF">2026-02-24T03:12:00Z</dcterms:created>
  <dcterms:modified xsi:type="dcterms:W3CDTF">2026-02-24T03:18:00Z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ies>
</file>