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4" w:rsidRDefault="008D1E34" w:rsidP="00AE74F9">
      <w:pPr>
        <w:rPr>
          <w:lang w:val="es-MX"/>
        </w:rPr>
      </w:pPr>
    </w:p>
    <w:p w:rsidR="008D1E34" w:rsidRDefault="00AE74F9" w:rsidP="008D1E34">
      <w:pPr>
        <w:jc w:val="center"/>
        <w:rPr>
          <w:lang w:val="es-MX"/>
        </w:rPr>
      </w:pPr>
      <w:r>
        <w:rPr>
          <w:noProof/>
          <w:lang w:eastAsia="es-PA"/>
        </w:rPr>
        <w:drawing>
          <wp:inline distT="0" distB="0" distL="0" distR="0" wp14:anchorId="00C36C05">
            <wp:extent cx="4767580" cy="9264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E34" w:rsidRDefault="008D1E34" w:rsidP="008D1E34">
      <w:pPr>
        <w:jc w:val="center"/>
        <w:rPr>
          <w:lang w:val="es-MX"/>
        </w:rPr>
      </w:pPr>
    </w:p>
    <w:p w:rsidR="003D68C2" w:rsidRDefault="003D68C2" w:rsidP="00A00486">
      <w:pPr>
        <w:rPr>
          <w:rFonts w:ascii="Georgia" w:hAnsi="Georgia"/>
          <w:sz w:val="36"/>
          <w:szCs w:val="36"/>
          <w:lang w:val="es-MX"/>
        </w:rPr>
      </w:pPr>
    </w:p>
    <w:p w:rsidR="003D68C2" w:rsidRDefault="003D68C2" w:rsidP="008D1E34">
      <w:pPr>
        <w:jc w:val="center"/>
        <w:rPr>
          <w:rFonts w:ascii="Georgia" w:hAnsi="Georgia"/>
          <w:sz w:val="36"/>
          <w:szCs w:val="36"/>
          <w:lang w:val="es-MX"/>
        </w:rPr>
      </w:pPr>
    </w:p>
    <w:p w:rsidR="008D1E34" w:rsidRPr="008D1E34" w:rsidRDefault="008D1E34" w:rsidP="008D1E34">
      <w:pPr>
        <w:jc w:val="center"/>
        <w:rPr>
          <w:rFonts w:ascii="Georgia" w:hAnsi="Georgia"/>
          <w:sz w:val="36"/>
          <w:szCs w:val="36"/>
          <w:lang w:val="es-MX"/>
        </w:rPr>
      </w:pPr>
      <w:r w:rsidRPr="008D1E34">
        <w:rPr>
          <w:rFonts w:ascii="Georgia" w:hAnsi="Georgia"/>
          <w:sz w:val="36"/>
          <w:szCs w:val="36"/>
          <w:lang w:val="es-MX"/>
        </w:rPr>
        <w:t>Taller Hemisférico</w:t>
      </w:r>
    </w:p>
    <w:p w:rsidR="008D1E34" w:rsidRPr="008D1E34" w:rsidRDefault="008D1E34" w:rsidP="008D1E34">
      <w:pPr>
        <w:jc w:val="center"/>
        <w:rPr>
          <w:rFonts w:ascii="Georgia" w:hAnsi="Georgia"/>
          <w:sz w:val="36"/>
          <w:szCs w:val="36"/>
          <w:lang w:val="es-MX"/>
        </w:rPr>
      </w:pPr>
      <w:r w:rsidRPr="008D1E34">
        <w:rPr>
          <w:rFonts w:ascii="Georgia" w:hAnsi="Georgia"/>
          <w:sz w:val="36"/>
          <w:szCs w:val="36"/>
          <w:lang w:val="es-MX"/>
        </w:rPr>
        <w:t xml:space="preserve">“Diálogo Social para la transición de la Informalidad </w:t>
      </w:r>
    </w:p>
    <w:p w:rsidR="008D1E34" w:rsidRPr="008D1E34" w:rsidRDefault="008D1E34" w:rsidP="008D1E34">
      <w:pPr>
        <w:jc w:val="center"/>
        <w:rPr>
          <w:rFonts w:ascii="Georgia" w:hAnsi="Georgia"/>
          <w:sz w:val="36"/>
          <w:szCs w:val="36"/>
          <w:lang w:val="es-MX"/>
        </w:rPr>
      </w:pPr>
      <w:r w:rsidRPr="008D1E34">
        <w:rPr>
          <w:rFonts w:ascii="Georgia" w:hAnsi="Georgia"/>
          <w:sz w:val="36"/>
          <w:szCs w:val="36"/>
          <w:lang w:val="es-MX"/>
        </w:rPr>
        <w:t>a la formalidad laboral con derechos”</w:t>
      </w:r>
    </w:p>
    <w:p w:rsidR="008D1E34" w:rsidRPr="008D1E34" w:rsidRDefault="008D1E34" w:rsidP="008D1E34">
      <w:pPr>
        <w:jc w:val="center"/>
        <w:rPr>
          <w:rFonts w:ascii="Georgia" w:hAnsi="Georgia"/>
          <w:sz w:val="36"/>
          <w:szCs w:val="36"/>
          <w:lang w:val="es-MX"/>
        </w:rPr>
      </w:pPr>
      <w:r w:rsidRPr="008D1E34">
        <w:rPr>
          <w:rFonts w:ascii="Georgia" w:hAnsi="Georgia"/>
          <w:sz w:val="36"/>
          <w:szCs w:val="36"/>
          <w:lang w:val="es-MX"/>
        </w:rPr>
        <w:t>20 y 21 de octubre del 2022</w:t>
      </w:r>
    </w:p>
    <w:p w:rsidR="008D1E34" w:rsidRPr="008D1E34" w:rsidRDefault="008D1E34" w:rsidP="008D1E34">
      <w:pPr>
        <w:jc w:val="center"/>
        <w:rPr>
          <w:rFonts w:ascii="Georgia" w:hAnsi="Georgia"/>
          <w:sz w:val="36"/>
          <w:szCs w:val="36"/>
          <w:lang w:val="es-MX"/>
        </w:rPr>
      </w:pPr>
      <w:r w:rsidRPr="008D1E34">
        <w:rPr>
          <w:rFonts w:ascii="Georgia" w:hAnsi="Georgia"/>
          <w:sz w:val="36"/>
          <w:szCs w:val="36"/>
          <w:lang w:val="es-MX"/>
        </w:rPr>
        <w:t>Buenos Aires, Argentina</w:t>
      </w:r>
    </w:p>
    <w:p w:rsidR="008D1E34" w:rsidRDefault="008D1E34" w:rsidP="008D1E34">
      <w:pPr>
        <w:jc w:val="center"/>
        <w:rPr>
          <w:lang w:val="es-MX"/>
        </w:rPr>
      </w:pPr>
    </w:p>
    <w:p w:rsidR="008D1E34" w:rsidRDefault="008D1E34" w:rsidP="008D1E34">
      <w:pPr>
        <w:jc w:val="center"/>
        <w:rPr>
          <w:lang w:val="es-MX"/>
        </w:rPr>
      </w:pPr>
    </w:p>
    <w:p w:rsidR="008D1E34" w:rsidRDefault="00E328BF" w:rsidP="008D1E34">
      <w:pPr>
        <w:jc w:val="center"/>
        <w:rPr>
          <w:lang w:val="es-MX"/>
        </w:rPr>
      </w:pPr>
      <w:r>
        <w:rPr>
          <w:lang w:val="es-MX"/>
        </w:rPr>
        <w:t>Transición a la formalización del trabajo con derechos.  Garantizar el acceso universal a la protección social de los trabajadores</w:t>
      </w:r>
    </w:p>
    <w:p w:rsidR="00E902FE" w:rsidRDefault="00E902FE" w:rsidP="008D1E34">
      <w:pPr>
        <w:jc w:val="center"/>
        <w:rPr>
          <w:lang w:val="es-MX"/>
        </w:rPr>
      </w:pPr>
    </w:p>
    <w:p w:rsidR="00E328BF" w:rsidRDefault="00E328BF" w:rsidP="008D1E34">
      <w:pPr>
        <w:jc w:val="center"/>
        <w:rPr>
          <w:lang w:val="es-MX"/>
        </w:rPr>
      </w:pPr>
      <w:r>
        <w:rPr>
          <w:lang w:val="es-MX"/>
        </w:rPr>
        <w:t>Moisés Véliz Arosemena</w:t>
      </w:r>
    </w:p>
    <w:p w:rsidR="00E328BF" w:rsidRDefault="00E328BF" w:rsidP="008D1E34">
      <w:pPr>
        <w:jc w:val="center"/>
        <w:rPr>
          <w:lang w:val="es-MX"/>
        </w:rPr>
      </w:pPr>
      <w:r>
        <w:rPr>
          <w:lang w:val="es-MX"/>
        </w:rPr>
        <w:t>Jefe del Observatorio del Mercado Laboral</w:t>
      </w:r>
    </w:p>
    <w:p w:rsidR="00E328BF" w:rsidRDefault="00E328BF" w:rsidP="008D1E34">
      <w:pPr>
        <w:jc w:val="center"/>
        <w:rPr>
          <w:lang w:val="es-MX"/>
        </w:rPr>
      </w:pPr>
      <w:r>
        <w:rPr>
          <w:lang w:val="es-MX"/>
        </w:rPr>
        <w:t>Ministerio de Trabajo y Desarrollo Laboral</w:t>
      </w:r>
    </w:p>
    <w:p w:rsidR="00E328BF" w:rsidRDefault="00E902FE" w:rsidP="008D1E34">
      <w:pPr>
        <w:jc w:val="center"/>
        <w:rPr>
          <w:lang w:val="es-MX"/>
        </w:rPr>
      </w:pPr>
      <w:r>
        <w:rPr>
          <w:lang w:val="es-MX"/>
        </w:rPr>
        <w:t>PANAMÁ</w:t>
      </w:r>
    </w:p>
    <w:p w:rsidR="008D1E34" w:rsidRDefault="008D1E34">
      <w:pPr>
        <w:rPr>
          <w:lang w:val="es-MX"/>
        </w:rPr>
      </w:pPr>
    </w:p>
    <w:p w:rsidR="008D1E34" w:rsidRDefault="008D1E34">
      <w:pPr>
        <w:rPr>
          <w:lang w:val="es-MX"/>
        </w:rPr>
      </w:pPr>
    </w:p>
    <w:p w:rsidR="008D1E34" w:rsidRDefault="008D1E34">
      <w:pPr>
        <w:rPr>
          <w:lang w:val="es-MX"/>
        </w:rPr>
      </w:pPr>
    </w:p>
    <w:p w:rsidR="008D1E34" w:rsidRDefault="008D1E34">
      <w:pPr>
        <w:rPr>
          <w:lang w:val="es-MX"/>
        </w:rPr>
      </w:pPr>
    </w:p>
    <w:p w:rsidR="008D1E34" w:rsidRDefault="00AE74F9" w:rsidP="00AE74F9">
      <w:pPr>
        <w:jc w:val="center"/>
        <w:rPr>
          <w:lang w:val="es-MX"/>
        </w:rPr>
      </w:pPr>
      <w:r>
        <w:rPr>
          <w:noProof/>
          <w:lang w:eastAsia="es-PA"/>
        </w:rPr>
        <w:lastRenderedPageBreak/>
        <w:drawing>
          <wp:inline distT="0" distB="0" distL="0" distR="0" wp14:anchorId="066EAEAD">
            <wp:extent cx="4767580" cy="9264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F81" w:rsidRDefault="00765F81" w:rsidP="00D94FC0">
      <w:pPr>
        <w:jc w:val="both"/>
        <w:rPr>
          <w:sz w:val="32"/>
          <w:szCs w:val="32"/>
          <w:lang w:val="es-MX"/>
        </w:rPr>
      </w:pPr>
    </w:p>
    <w:p w:rsidR="008D1E34" w:rsidRPr="00D94FC0" w:rsidRDefault="008D1E34" w:rsidP="00D94FC0">
      <w:pPr>
        <w:jc w:val="both"/>
        <w:rPr>
          <w:sz w:val="32"/>
          <w:szCs w:val="32"/>
          <w:lang w:val="es-MX"/>
        </w:rPr>
      </w:pPr>
      <w:r w:rsidRPr="00D94FC0">
        <w:rPr>
          <w:sz w:val="32"/>
          <w:szCs w:val="32"/>
          <w:lang w:val="es-MX"/>
        </w:rPr>
        <w:t>INTRODUCCIÓN</w:t>
      </w:r>
    </w:p>
    <w:p w:rsidR="008D1E34" w:rsidRPr="00D94FC0" w:rsidRDefault="008D1E34" w:rsidP="00D94FC0">
      <w:pPr>
        <w:jc w:val="both"/>
        <w:rPr>
          <w:sz w:val="32"/>
          <w:szCs w:val="32"/>
          <w:lang w:val="es-MX"/>
        </w:rPr>
      </w:pPr>
    </w:p>
    <w:p w:rsidR="008D1E34" w:rsidRPr="00D94FC0" w:rsidRDefault="008D1E34" w:rsidP="00D94FC0">
      <w:pPr>
        <w:jc w:val="both"/>
        <w:rPr>
          <w:sz w:val="32"/>
          <w:szCs w:val="32"/>
          <w:lang w:val="es-MX"/>
        </w:rPr>
      </w:pPr>
      <w:r w:rsidRPr="00D94FC0">
        <w:rPr>
          <w:sz w:val="32"/>
          <w:szCs w:val="32"/>
          <w:lang w:val="es-MX"/>
        </w:rPr>
        <w:t xml:space="preserve">En el nombre de Su Excelencia, DORIS ZAPATA ACEVEDO, Ministra de Trabajo y Desarrollo Laboral de la República de Panamá, </w:t>
      </w:r>
      <w:r w:rsidR="00CE6F97" w:rsidRPr="00D94FC0">
        <w:rPr>
          <w:sz w:val="32"/>
          <w:szCs w:val="32"/>
          <w:lang w:val="es-MX"/>
        </w:rPr>
        <w:t>saludamos a la Sra. Raquel Cecilia Kismer, Ministra de Trabajo, Empleo y Seguridad Social de Argentina, por la hospitalidad que nos bri</w:t>
      </w:r>
      <w:r w:rsidR="00623FA5">
        <w:rPr>
          <w:sz w:val="32"/>
          <w:szCs w:val="32"/>
          <w:lang w:val="es-MX"/>
        </w:rPr>
        <w:t>ndan al</w:t>
      </w:r>
      <w:r w:rsidR="00CE6F97" w:rsidRPr="00D94FC0">
        <w:rPr>
          <w:sz w:val="32"/>
          <w:szCs w:val="32"/>
          <w:lang w:val="es-MX"/>
        </w:rPr>
        <w:t xml:space="preserve"> celebrar este evento</w:t>
      </w:r>
      <w:r w:rsidR="00623FA5">
        <w:rPr>
          <w:sz w:val="32"/>
          <w:szCs w:val="32"/>
          <w:lang w:val="es-MX"/>
        </w:rPr>
        <w:t xml:space="preserve"> en su país</w:t>
      </w:r>
      <w:r w:rsidR="00CE6F97" w:rsidRPr="00D94FC0">
        <w:rPr>
          <w:sz w:val="32"/>
          <w:szCs w:val="32"/>
          <w:lang w:val="es-MX"/>
        </w:rPr>
        <w:t>; a los representantes de la OEA, de la Red Interamericana para la Administración (RIAL),</w:t>
      </w:r>
      <w:r w:rsidR="00623FA5">
        <w:rPr>
          <w:sz w:val="32"/>
          <w:szCs w:val="32"/>
          <w:lang w:val="es-MX"/>
        </w:rPr>
        <w:t xml:space="preserve"> </w:t>
      </w:r>
      <w:r w:rsidR="00CE6F97" w:rsidRPr="00D94FC0">
        <w:rPr>
          <w:sz w:val="32"/>
          <w:szCs w:val="32"/>
          <w:lang w:val="es-MX"/>
        </w:rPr>
        <w:t>a los representantes de COSATE y CEATAL; así como a los participantes presentes y a distancia que asisten a este “Taller Hemisférico”</w:t>
      </w:r>
      <w:r w:rsidR="00E813E2">
        <w:rPr>
          <w:sz w:val="32"/>
          <w:szCs w:val="32"/>
          <w:lang w:val="es-MX"/>
        </w:rPr>
        <w:t xml:space="preserve"> les</w:t>
      </w:r>
      <w:r w:rsidR="00D94FC0" w:rsidRPr="00D94FC0">
        <w:rPr>
          <w:sz w:val="32"/>
          <w:szCs w:val="32"/>
          <w:lang w:val="es-MX"/>
        </w:rPr>
        <w:t xml:space="preserve"> </w:t>
      </w:r>
      <w:r w:rsidR="00E813E2">
        <w:rPr>
          <w:sz w:val="32"/>
          <w:szCs w:val="32"/>
          <w:lang w:val="es-MX"/>
        </w:rPr>
        <w:t>agradecemos la invitación al</w:t>
      </w:r>
      <w:r w:rsidR="00D94FC0" w:rsidRPr="00D94FC0">
        <w:rPr>
          <w:sz w:val="32"/>
          <w:szCs w:val="32"/>
          <w:lang w:val="es-MX"/>
        </w:rPr>
        <w:t xml:space="preserve"> Diálogo para la transición de la informalidad a la formalidad laboral con derechos.</w:t>
      </w:r>
    </w:p>
    <w:p w:rsidR="00AF6FEE" w:rsidRPr="00D453E8" w:rsidRDefault="00D94FC0" w:rsidP="00D94FC0">
      <w:pPr>
        <w:jc w:val="both"/>
        <w:rPr>
          <w:sz w:val="32"/>
          <w:szCs w:val="32"/>
          <w:lang w:val="es-MX"/>
        </w:rPr>
      </w:pPr>
      <w:r w:rsidRPr="00D94FC0">
        <w:rPr>
          <w:sz w:val="32"/>
          <w:szCs w:val="32"/>
          <w:lang w:val="es-MX"/>
        </w:rPr>
        <w:t xml:space="preserve">Con el objetivo de dar a conocer algunas de las estrategias y políticas vinculadas a la protección social y la promoción de la productividad que faciliten la transición a la formalización laboral mediante mecanismos basados en el diálogo social, estamos hoy aquí, precisamente para compartirles </w:t>
      </w:r>
      <w:r>
        <w:rPr>
          <w:sz w:val="32"/>
          <w:szCs w:val="32"/>
          <w:lang w:val="es-MX"/>
        </w:rPr>
        <w:t xml:space="preserve">algunas experiencias de mi país, </w:t>
      </w:r>
      <w:r w:rsidR="00E813E2">
        <w:rPr>
          <w:sz w:val="32"/>
          <w:szCs w:val="32"/>
          <w:lang w:val="es-MX"/>
        </w:rPr>
        <w:t>valorando</w:t>
      </w:r>
      <w:r w:rsidRPr="00D453E8">
        <w:rPr>
          <w:sz w:val="32"/>
          <w:szCs w:val="32"/>
          <w:lang w:val="es-MX"/>
        </w:rPr>
        <w:t xml:space="preserve"> algunos retos que </w:t>
      </w:r>
      <w:r w:rsidR="00FB2C35" w:rsidRPr="00D453E8">
        <w:rPr>
          <w:sz w:val="32"/>
          <w:szCs w:val="32"/>
          <w:lang w:val="es-MX"/>
        </w:rPr>
        <w:t>las circunstancias nos han</w:t>
      </w:r>
      <w:r w:rsidRPr="00D453E8">
        <w:rPr>
          <w:sz w:val="32"/>
          <w:szCs w:val="32"/>
          <w:lang w:val="es-MX"/>
        </w:rPr>
        <w:t xml:space="preserve"> impuesto</w:t>
      </w:r>
      <w:r w:rsidR="00FB2C35" w:rsidRPr="00D453E8">
        <w:rPr>
          <w:sz w:val="32"/>
          <w:szCs w:val="32"/>
          <w:lang w:val="es-MX"/>
        </w:rPr>
        <w:t xml:space="preserve"> para garantizar el acceso universal a la protec</w:t>
      </w:r>
      <w:r w:rsidR="00E813E2">
        <w:rPr>
          <w:sz w:val="32"/>
          <w:szCs w:val="32"/>
          <w:lang w:val="es-MX"/>
        </w:rPr>
        <w:t>ción social de los trabajadores y valorando también los avances alcanzados.</w:t>
      </w:r>
    </w:p>
    <w:p w:rsidR="00A4065D" w:rsidRPr="00D453E8" w:rsidRDefault="00A4065D" w:rsidP="00D94FC0">
      <w:pPr>
        <w:jc w:val="both"/>
        <w:rPr>
          <w:sz w:val="32"/>
          <w:szCs w:val="32"/>
          <w:lang w:val="es-MX"/>
        </w:rPr>
      </w:pPr>
    </w:p>
    <w:p w:rsidR="00E328BF" w:rsidRDefault="00E328BF" w:rsidP="00D94FC0">
      <w:pPr>
        <w:jc w:val="both"/>
        <w:rPr>
          <w:sz w:val="32"/>
          <w:szCs w:val="32"/>
          <w:lang w:val="es-MX"/>
        </w:rPr>
      </w:pPr>
    </w:p>
    <w:p w:rsidR="00BA39FD" w:rsidRPr="005226B0" w:rsidRDefault="00E328BF" w:rsidP="005226B0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3E246229">
            <wp:extent cx="4767580" cy="9264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1A2" w:rsidRDefault="00BA39FD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INICIO DE LA CRISIS</w:t>
      </w:r>
    </w:p>
    <w:p w:rsidR="00E328BF" w:rsidRPr="005226B0" w:rsidRDefault="000702B5" w:rsidP="005226B0">
      <w:pPr>
        <w:spacing w:line="240" w:lineRule="auto"/>
        <w:jc w:val="both"/>
        <w:rPr>
          <w:sz w:val="32"/>
          <w:szCs w:val="32"/>
        </w:rPr>
      </w:pPr>
      <w:r w:rsidRPr="005226B0">
        <w:rPr>
          <w:sz w:val="32"/>
          <w:szCs w:val="32"/>
        </w:rPr>
        <w:t>El 11</w:t>
      </w:r>
      <w:r w:rsidR="00B825AA" w:rsidRPr="005226B0">
        <w:rPr>
          <w:sz w:val="32"/>
          <w:szCs w:val="32"/>
        </w:rPr>
        <w:t xml:space="preserve"> de marzo del 2020, </w:t>
      </w:r>
      <w:r w:rsidRPr="005226B0">
        <w:rPr>
          <w:sz w:val="32"/>
          <w:szCs w:val="32"/>
        </w:rPr>
        <w:t xml:space="preserve">la OMS declaró la enfermedad coronavirus COVID-19 como pandemia, en virtud de su </w:t>
      </w:r>
    </w:p>
    <w:p w:rsidR="00A4065D" w:rsidRPr="005226B0" w:rsidRDefault="00A83F6F" w:rsidP="005226B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BA39FD" w:rsidRPr="005226B0">
        <w:rPr>
          <w:sz w:val="32"/>
          <w:szCs w:val="32"/>
        </w:rPr>
        <w:t>ropagación</w:t>
      </w:r>
      <w:r w:rsidR="000702B5" w:rsidRPr="005226B0">
        <w:rPr>
          <w:sz w:val="32"/>
          <w:szCs w:val="32"/>
        </w:rPr>
        <w:t xml:space="preserve"> mundial.  Dos días después, en Panamá fue </w:t>
      </w:r>
    </w:p>
    <w:p w:rsidR="005226B0" w:rsidRDefault="000702B5" w:rsidP="005226B0">
      <w:pPr>
        <w:spacing w:line="240" w:lineRule="auto"/>
        <w:jc w:val="both"/>
        <w:rPr>
          <w:sz w:val="32"/>
          <w:szCs w:val="32"/>
        </w:rPr>
      </w:pPr>
      <w:r w:rsidRPr="005226B0">
        <w:rPr>
          <w:sz w:val="32"/>
          <w:szCs w:val="32"/>
        </w:rPr>
        <w:t xml:space="preserve">declarado el Estado de Emergencia Nacional y se dictaron </w:t>
      </w:r>
    </w:p>
    <w:p w:rsidR="00AE74F9" w:rsidRDefault="000702B5" w:rsidP="005226B0">
      <w:pPr>
        <w:spacing w:line="240" w:lineRule="auto"/>
        <w:jc w:val="both"/>
        <w:rPr>
          <w:sz w:val="32"/>
          <w:szCs w:val="32"/>
        </w:rPr>
      </w:pPr>
      <w:r w:rsidRPr="005226B0">
        <w:rPr>
          <w:sz w:val="32"/>
          <w:szCs w:val="32"/>
        </w:rPr>
        <w:t>otras disposiciones.</w:t>
      </w:r>
    </w:p>
    <w:p w:rsidR="00D93A96" w:rsidRDefault="00D93A96" w:rsidP="005226B0">
      <w:pPr>
        <w:spacing w:line="240" w:lineRule="auto"/>
        <w:jc w:val="both"/>
        <w:rPr>
          <w:sz w:val="32"/>
          <w:szCs w:val="32"/>
        </w:rPr>
      </w:pPr>
    </w:p>
    <w:p w:rsidR="00AF6FEE" w:rsidRDefault="00AF6FEE" w:rsidP="00AE74F9">
      <w:pPr>
        <w:jc w:val="both"/>
        <w:rPr>
          <w:sz w:val="32"/>
          <w:szCs w:val="32"/>
        </w:rPr>
      </w:pPr>
      <w:r>
        <w:rPr>
          <w:sz w:val="32"/>
          <w:szCs w:val="32"/>
        </w:rPr>
        <w:t>PLAN PANAMÁ SOLIDARIO</w:t>
      </w:r>
    </w:p>
    <w:p w:rsidR="000702B5" w:rsidRDefault="000702B5" w:rsidP="005226B0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Una de estas disposiciones fue la creación del “Plan Panamá Solidario” </w:t>
      </w:r>
      <w:r w:rsidR="007F7656">
        <w:rPr>
          <w:sz w:val="32"/>
          <w:szCs w:val="32"/>
        </w:rPr>
        <w:t>para atender las necesidades urgentes de los ciudadanos afectados en mayor o menor proporción dentro del territorio nacional.</w:t>
      </w:r>
    </w:p>
    <w:p w:rsidR="00D93A96" w:rsidRDefault="007F7656" w:rsidP="00D93A96">
      <w:pPr>
        <w:jc w:val="both"/>
        <w:rPr>
          <w:sz w:val="32"/>
          <w:szCs w:val="32"/>
        </w:rPr>
      </w:pPr>
      <w:r>
        <w:rPr>
          <w:sz w:val="32"/>
          <w:szCs w:val="32"/>
        </w:rPr>
        <w:t>El plan consistió en brindar apoyo solidario a los ciudadanos afectados para cubrir sus necesidades básicas de alimentos, productos de higiene y medicamentos, mientras durara e</w:t>
      </w:r>
      <w:r w:rsidR="00EB285B">
        <w:rPr>
          <w:sz w:val="32"/>
          <w:szCs w:val="32"/>
        </w:rPr>
        <w:t>l Estado de Emergencia Nacional y se establecieron tres modalidades para brindar este apoyo:</w:t>
      </w:r>
      <w:r>
        <w:rPr>
          <w:sz w:val="32"/>
          <w:szCs w:val="32"/>
        </w:rPr>
        <w:t xml:space="preserve"> </w:t>
      </w:r>
      <w:r w:rsidR="00EB285B">
        <w:rPr>
          <w:sz w:val="32"/>
          <w:szCs w:val="32"/>
        </w:rPr>
        <w:t>1) entrega de bolsas de alimentos de casa en casa</w:t>
      </w:r>
      <w:r w:rsidR="008224F2">
        <w:rPr>
          <w:sz w:val="32"/>
          <w:szCs w:val="32"/>
        </w:rPr>
        <w:t xml:space="preserve"> cada 15 días</w:t>
      </w:r>
      <w:r w:rsidR="00EB285B">
        <w:rPr>
          <w:sz w:val="32"/>
          <w:szCs w:val="32"/>
        </w:rPr>
        <w:t>, priorizando</w:t>
      </w:r>
      <w:r w:rsidR="00F255DE">
        <w:rPr>
          <w:sz w:val="32"/>
          <w:szCs w:val="32"/>
        </w:rPr>
        <w:t xml:space="preserve"> en lo que llamamos el Panamá Rural y el Panamá de las Comarcas; 2) entrega de bonos físicos por valor de US$100 para la compra de </w:t>
      </w:r>
      <w:r>
        <w:rPr>
          <w:sz w:val="32"/>
          <w:szCs w:val="32"/>
        </w:rPr>
        <w:t xml:space="preserve"> </w:t>
      </w:r>
      <w:r w:rsidR="00F255DE">
        <w:rPr>
          <w:sz w:val="32"/>
          <w:szCs w:val="32"/>
        </w:rPr>
        <w:t xml:space="preserve">alimentos y medicamentos en </w:t>
      </w:r>
      <w:r w:rsidR="008224F2">
        <w:rPr>
          <w:sz w:val="32"/>
          <w:szCs w:val="32"/>
        </w:rPr>
        <w:t>establecimientos registrados para este programa;</w:t>
      </w:r>
      <w:r w:rsidR="00F255DE">
        <w:rPr>
          <w:sz w:val="32"/>
          <w:szCs w:val="32"/>
        </w:rPr>
        <w:t xml:space="preserve"> y 3) transferencias monetarias de un vale digital a través de la cédula de identidad personal para compras únicamente de alimentos y medicamentos en el </w:t>
      </w:r>
    </w:p>
    <w:p w:rsidR="00D93A96" w:rsidRDefault="00D93A96" w:rsidP="00D93A96">
      <w:pPr>
        <w:jc w:val="both"/>
        <w:rPr>
          <w:sz w:val="32"/>
          <w:szCs w:val="32"/>
        </w:rPr>
      </w:pPr>
    </w:p>
    <w:p w:rsidR="00D93A96" w:rsidRDefault="00D93A96" w:rsidP="00D93A9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51F356ED">
            <wp:extent cx="4767580" cy="9264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656" w:rsidRDefault="00F255DE" w:rsidP="00D93A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comercio local por </w:t>
      </w:r>
      <w:r w:rsidR="008224F2">
        <w:rPr>
          <w:sz w:val="32"/>
          <w:szCs w:val="32"/>
        </w:rPr>
        <w:t>el mismo valor y que meses después fue incrementado a</w:t>
      </w:r>
      <w:r>
        <w:rPr>
          <w:sz w:val="32"/>
          <w:szCs w:val="32"/>
        </w:rPr>
        <w:t xml:space="preserve"> USD$120.00</w:t>
      </w:r>
      <w:r w:rsidR="008224F2">
        <w:rPr>
          <w:sz w:val="32"/>
          <w:szCs w:val="32"/>
        </w:rPr>
        <w:t>.</w:t>
      </w:r>
    </w:p>
    <w:p w:rsidR="00765F81" w:rsidRDefault="008224F2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la reactivación económica a partir del 1er trimestre del 2021, </w:t>
      </w:r>
      <w:r w:rsidR="00D93A96">
        <w:rPr>
          <w:sz w:val="32"/>
          <w:szCs w:val="32"/>
        </w:rPr>
        <w:t>algunas de estas ayudas fueron</w:t>
      </w:r>
      <w:r>
        <w:rPr>
          <w:sz w:val="32"/>
          <w:szCs w:val="32"/>
        </w:rPr>
        <w:t xml:space="preserve"> evaluadas y suspendidas, pero el vale digital continúa vigente oficialmente hasta el 31 de diciembre del 2022. </w:t>
      </w:r>
    </w:p>
    <w:p w:rsidR="00765F81" w:rsidRDefault="007E29CB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MESA TRIPARTITA DE DIÁLOGO POR LA ECONOMÍA Y EL DESARROLLO LABOAL</w:t>
      </w:r>
    </w:p>
    <w:p w:rsidR="002F7BD0" w:rsidRDefault="00F0529C" w:rsidP="00D93A9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abril del 2020, el Ministerio de Trabajo y Desarrollo Laboral convocó a una Mesa Tripartita de Diálogo por la Economía y el Desarrollo Laboral. De este diálogo tripartita, surgieron las normas que permitieron la </w:t>
      </w:r>
      <w:r w:rsidR="00D71EDF">
        <w:rPr>
          <w:sz w:val="32"/>
          <w:szCs w:val="32"/>
        </w:rPr>
        <w:t>pr</w:t>
      </w:r>
      <w:r w:rsidR="00D93A96">
        <w:rPr>
          <w:sz w:val="32"/>
          <w:szCs w:val="32"/>
        </w:rPr>
        <w:t xml:space="preserve">otección de los derechos de los </w:t>
      </w:r>
      <w:r w:rsidR="00D71EDF">
        <w:rPr>
          <w:sz w:val="32"/>
          <w:szCs w:val="32"/>
        </w:rPr>
        <w:t xml:space="preserve">trabajadores, como la </w:t>
      </w:r>
      <w:r>
        <w:rPr>
          <w:sz w:val="32"/>
          <w:szCs w:val="32"/>
        </w:rPr>
        <w:t>suspensión tempo</w:t>
      </w:r>
      <w:r w:rsidR="00D71EDF">
        <w:rPr>
          <w:sz w:val="32"/>
          <w:szCs w:val="32"/>
        </w:rPr>
        <w:t>ral de los contratos de trabajo y la disminución de las jornadas de trabajo; se reglamentó el teletrabajo como una alternativa para mantener la producción sin afectar la bioseguridad de los trabajadores; se reconoce el pago de licencias por maternidad a las trabajadoras con contratos suspendidos; se</w:t>
      </w:r>
      <w:r w:rsidR="002F7BD0">
        <w:rPr>
          <w:sz w:val="32"/>
          <w:szCs w:val="32"/>
        </w:rPr>
        <w:t xml:space="preserve"> regula el retorno de las personas con discapacidad a sus puestos de trabajo; entre otras normas que se acordaron.</w:t>
      </w:r>
    </w:p>
    <w:p w:rsidR="001D562F" w:rsidRDefault="000A30D3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El Plan Panamá Solidario ha tenido un altísimo costo para las finanzas del Estado panameño, pero nos ha permitido llevar asistencia y alivio a l</w:t>
      </w:r>
      <w:r w:rsidR="00623FA5">
        <w:rPr>
          <w:sz w:val="32"/>
          <w:szCs w:val="32"/>
        </w:rPr>
        <w:t>a población más vulnerable y</w:t>
      </w:r>
      <w:r w:rsidR="00D93A96">
        <w:rPr>
          <w:sz w:val="32"/>
          <w:szCs w:val="32"/>
        </w:rPr>
        <w:t xml:space="preserve"> </w:t>
      </w:r>
      <w:r w:rsidR="001D562F">
        <w:rPr>
          <w:sz w:val="32"/>
          <w:szCs w:val="32"/>
        </w:rPr>
        <w:t>nos permitió arribar a medidas consensuadas que permitieron recuperar gradualmente las condiciones laborales existentes al momento de la aparición de la pandemia.</w:t>
      </w:r>
    </w:p>
    <w:p w:rsidR="00AF6FEE" w:rsidRDefault="00AF6FEE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REACTIVACIÓN ECONÓMICA</w:t>
      </w:r>
    </w:p>
    <w:p w:rsidR="00D93A96" w:rsidRDefault="00D93A96" w:rsidP="00E902F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1C467E42">
            <wp:extent cx="4767580" cy="9264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6FE" w:rsidRDefault="002B40C6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r w:rsidR="00FB34E0">
        <w:rPr>
          <w:sz w:val="32"/>
          <w:szCs w:val="32"/>
        </w:rPr>
        <w:t xml:space="preserve">crecimiento del </w:t>
      </w:r>
      <w:r>
        <w:rPr>
          <w:sz w:val="32"/>
          <w:szCs w:val="32"/>
        </w:rPr>
        <w:t xml:space="preserve">PIB de Panamá se situó en </w:t>
      </w:r>
      <w:r w:rsidR="00FB34E0">
        <w:rPr>
          <w:sz w:val="32"/>
          <w:szCs w:val="32"/>
        </w:rPr>
        <w:t>3.0% en el 2019, en 2020 tuvo una caída de -17.9%, logró una recuperación de 15.3% en el 2021</w:t>
      </w:r>
      <w:r w:rsidR="00623FA5">
        <w:rPr>
          <w:sz w:val="32"/>
          <w:szCs w:val="32"/>
        </w:rPr>
        <w:t xml:space="preserve"> </w:t>
      </w:r>
      <w:r w:rsidR="00FB34E0">
        <w:rPr>
          <w:sz w:val="32"/>
          <w:szCs w:val="32"/>
        </w:rPr>
        <w:t xml:space="preserve">superando todas las predicciones de los economistas, organismos internacionales y de nuestras propias autoridades gubernamentales; este año 2022, la CEPAL ha pronosticado un crecimiento de 7.0%. </w:t>
      </w:r>
    </w:p>
    <w:p w:rsidR="00BB39BA" w:rsidRDefault="001D562F" w:rsidP="007E29CB">
      <w:pPr>
        <w:jc w:val="both"/>
        <w:rPr>
          <w:sz w:val="32"/>
          <w:szCs w:val="32"/>
        </w:rPr>
      </w:pPr>
      <w:r>
        <w:rPr>
          <w:sz w:val="32"/>
          <w:szCs w:val="32"/>
        </w:rPr>
        <w:t>El desempleo que en el 2019 estaba en 7.1% en Panamá, aumentó a niv</w:t>
      </w:r>
      <w:r w:rsidR="00623FA5">
        <w:rPr>
          <w:sz w:val="32"/>
          <w:szCs w:val="32"/>
        </w:rPr>
        <w:t>eles históricamente no vistos a</w:t>
      </w:r>
      <w:r>
        <w:rPr>
          <w:sz w:val="32"/>
          <w:szCs w:val="32"/>
        </w:rPr>
        <w:t>l 18.5%</w:t>
      </w:r>
      <w:r w:rsidR="00F0529C">
        <w:rPr>
          <w:sz w:val="32"/>
          <w:szCs w:val="32"/>
        </w:rPr>
        <w:t xml:space="preserve"> </w:t>
      </w:r>
      <w:r w:rsidR="00623FA5">
        <w:rPr>
          <w:sz w:val="32"/>
          <w:szCs w:val="32"/>
        </w:rPr>
        <w:t>en el 2020 y</w:t>
      </w:r>
      <w:r>
        <w:rPr>
          <w:sz w:val="32"/>
          <w:szCs w:val="32"/>
        </w:rPr>
        <w:t xml:space="preserve"> ahora se encuentra en 9.9%; la informalidad era de 44.9% en el 2019, subió a 52.</w:t>
      </w:r>
      <w:r w:rsidR="001576FE">
        <w:rPr>
          <w:sz w:val="32"/>
          <w:szCs w:val="32"/>
        </w:rPr>
        <w:t>8% en el 2020, ahora se encuentra en 47.6%.</w:t>
      </w:r>
    </w:p>
    <w:p w:rsidR="00FB34E0" w:rsidRDefault="006D43B1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Estos indicadores que</w:t>
      </w:r>
      <w:r w:rsidR="00773BB6">
        <w:rPr>
          <w:sz w:val="32"/>
          <w:szCs w:val="32"/>
        </w:rPr>
        <w:t xml:space="preserve"> muestran una evidente reactivación del país, considerando un control absoluto de la pandemia del COVID-19, gracias al manejo efectivo de un masivo proceso de vacunación nacional, no desvirtúa</w:t>
      </w:r>
      <w:r>
        <w:rPr>
          <w:sz w:val="32"/>
          <w:szCs w:val="32"/>
        </w:rPr>
        <w:t>n</w:t>
      </w:r>
      <w:r w:rsidR="00773BB6">
        <w:rPr>
          <w:sz w:val="32"/>
          <w:szCs w:val="32"/>
        </w:rPr>
        <w:t xml:space="preserve"> la realidad de que en el mercado laboral, los más golpeados han sido los y las jóvenes de 15 a 29 años, </w:t>
      </w:r>
      <w:r w:rsidR="004B2F9B">
        <w:rPr>
          <w:sz w:val="32"/>
          <w:szCs w:val="32"/>
        </w:rPr>
        <w:t>que luchan por encontrar</w:t>
      </w:r>
      <w:r w:rsidR="00773BB6">
        <w:rPr>
          <w:sz w:val="32"/>
          <w:szCs w:val="32"/>
        </w:rPr>
        <w:t xml:space="preserve"> </w:t>
      </w:r>
      <w:r w:rsidR="004B2F9B">
        <w:rPr>
          <w:sz w:val="32"/>
          <w:szCs w:val="32"/>
        </w:rPr>
        <w:t xml:space="preserve">la </w:t>
      </w:r>
      <w:r w:rsidR="00773BB6">
        <w:rPr>
          <w:sz w:val="32"/>
          <w:szCs w:val="32"/>
        </w:rPr>
        <w:t>oport</w:t>
      </w:r>
      <w:r w:rsidR="004B2F9B">
        <w:rPr>
          <w:sz w:val="32"/>
          <w:szCs w:val="32"/>
        </w:rPr>
        <w:t xml:space="preserve">unidad de un </w:t>
      </w:r>
      <w:r w:rsidR="009125A8">
        <w:rPr>
          <w:sz w:val="32"/>
          <w:szCs w:val="32"/>
        </w:rPr>
        <w:t>trabajo</w:t>
      </w:r>
      <w:r w:rsidR="004B2F9B">
        <w:rPr>
          <w:sz w:val="32"/>
          <w:szCs w:val="32"/>
        </w:rPr>
        <w:t xml:space="preserve"> decente.</w:t>
      </w:r>
    </w:p>
    <w:p w:rsidR="00765F81" w:rsidRDefault="00765F81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Coincidimos en que son los Estados los responsables de aplicar políticas públicas de empleo que sean efectivas.  Los desafíos para cerrar las brechas de género, disminuir el desempleo y la informalidad, sobre todo, entre los jóvenes y</w:t>
      </w:r>
    </w:p>
    <w:p w:rsidR="00D93A96" w:rsidRDefault="00D93A96" w:rsidP="00D94FC0">
      <w:pPr>
        <w:jc w:val="both"/>
        <w:rPr>
          <w:sz w:val="32"/>
          <w:szCs w:val="32"/>
        </w:rPr>
      </w:pPr>
    </w:p>
    <w:p w:rsidR="00D93A96" w:rsidRDefault="00D93A96" w:rsidP="00D94FC0">
      <w:pPr>
        <w:jc w:val="both"/>
        <w:rPr>
          <w:sz w:val="32"/>
          <w:szCs w:val="32"/>
        </w:rPr>
      </w:pPr>
    </w:p>
    <w:p w:rsidR="00765F81" w:rsidRDefault="00765F81" w:rsidP="00D94FC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48E91B5A">
            <wp:extent cx="4767580" cy="9264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F9B" w:rsidRDefault="004B2F9B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mujeres</w:t>
      </w:r>
      <w:r w:rsidR="009125A8">
        <w:rPr>
          <w:sz w:val="32"/>
          <w:szCs w:val="32"/>
        </w:rPr>
        <w:t>, se aproximan a una solución mediante mecanismos de diálogo social.</w:t>
      </w:r>
    </w:p>
    <w:p w:rsidR="007E29CB" w:rsidRDefault="007E29CB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RALENTIZACIÓN DE LA RECUPERACIÓN ECONÓMICA</w:t>
      </w:r>
    </w:p>
    <w:p w:rsidR="007E29CB" w:rsidRDefault="009125A8" w:rsidP="007E29CB">
      <w:pPr>
        <w:jc w:val="both"/>
        <w:rPr>
          <w:sz w:val="32"/>
          <w:szCs w:val="32"/>
        </w:rPr>
      </w:pPr>
      <w:r>
        <w:rPr>
          <w:sz w:val="32"/>
          <w:szCs w:val="32"/>
        </w:rPr>
        <w:t>La invasión de Rusia a Ucrania, como bien sabemos, ha sido el principal detonante de la inflación que experimentan nuestros países</w:t>
      </w:r>
      <w:r w:rsidR="00C749A3">
        <w:rPr>
          <w:sz w:val="32"/>
          <w:szCs w:val="32"/>
        </w:rPr>
        <w:t xml:space="preserve">. Este hecho también ha impactado negativamente en el proceso de recuperación que se inició en </w:t>
      </w:r>
    </w:p>
    <w:p w:rsidR="00BB39BA" w:rsidRDefault="00C749A3" w:rsidP="007E29CB">
      <w:pPr>
        <w:jc w:val="both"/>
        <w:rPr>
          <w:sz w:val="32"/>
          <w:szCs w:val="32"/>
        </w:rPr>
      </w:pPr>
      <w:r>
        <w:rPr>
          <w:sz w:val="32"/>
          <w:szCs w:val="32"/>
        </w:rPr>
        <w:t>el 2021. En Panamá las protestas y el ma</w:t>
      </w:r>
      <w:r w:rsidR="006D43B1">
        <w:rPr>
          <w:sz w:val="32"/>
          <w:szCs w:val="32"/>
        </w:rPr>
        <w:t>lestar alcanzaron</w:t>
      </w:r>
      <w:r>
        <w:rPr>
          <w:sz w:val="32"/>
          <w:szCs w:val="32"/>
        </w:rPr>
        <w:t xml:space="preserve"> su peor momento en julio de este año, debido al cierre de la principal carretera que conecta a todo el país. Los transportistas de carga exigían rebaja del combustible. Luego de una negociación entre el Gobierno Nacional y los transportistas se encontró una solución temporal</w:t>
      </w:r>
      <w:r w:rsidR="00422487">
        <w:rPr>
          <w:sz w:val="32"/>
          <w:szCs w:val="32"/>
        </w:rPr>
        <w:t>; días después los maestros, trabajadores organizados, representantes de las comarcas, campesinos y pequeños productores, iniciaron un gran movimiento por la rebaja de la canasta básica.</w:t>
      </w:r>
    </w:p>
    <w:p w:rsidR="007E29CB" w:rsidRDefault="007E29CB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MESA ÚNICA DE DIÁLOGO POR PANAMÁ</w:t>
      </w:r>
    </w:p>
    <w:p w:rsidR="00422487" w:rsidRDefault="007D20BF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Toda esta situación que paralizó el país por varios días, </w:t>
      </w:r>
      <w:r w:rsidR="002974E3">
        <w:rPr>
          <w:sz w:val="32"/>
          <w:szCs w:val="32"/>
        </w:rPr>
        <w:t xml:space="preserve"> derivó </w:t>
      </w:r>
      <w:r>
        <w:rPr>
          <w:sz w:val="32"/>
          <w:szCs w:val="32"/>
        </w:rPr>
        <w:t xml:space="preserve"> en una</w:t>
      </w:r>
      <w:r w:rsidR="00422487">
        <w:rPr>
          <w:sz w:val="32"/>
          <w:szCs w:val="32"/>
        </w:rPr>
        <w:t xml:space="preserve"> Mesa Única de</w:t>
      </w:r>
      <w:r w:rsidR="006D43B1">
        <w:rPr>
          <w:sz w:val="32"/>
          <w:szCs w:val="32"/>
        </w:rPr>
        <w:t xml:space="preserve"> Diálogo</w:t>
      </w:r>
      <w:r w:rsidR="00422487">
        <w:rPr>
          <w:sz w:val="32"/>
          <w:szCs w:val="32"/>
        </w:rPr>
        <w:t xml:space="preserve">  por Panamá, en donde la lista de temas a negociar creció hasta llegar a ocho (8) puntos </w:t>
      </w:r>
      <w:r>
        <w:rPr>
          <w:sz w:val="32"/>
          <w:szCs w:val="32"/>
        </w:rPr>
        <w:t>co</w:t>
      </w:r>
      <w:r w:rsidR="002974E3">
        <w:rPr>
          <w:sz w:val="32"/>
          <w:szCs w:val="32"/>
        </w:rPr>
        <w:t>nsiderados de urgencia nacional y los actores fueron los grupos populares que protestaban en las calles y que paralizaron el país junto a representan</w:t>
      </w:r>
      <w:r w:rsidR="00E902FE">
        <w:rPr>
          <w:sz w:val="32"/>
          <w:szCs w:val="32"/>
        </w:rPr>
        <w:t>tes del Órgano Ejecutivo lider</w:t>
      </w:r>
      <w:r w:rsidR="002974E3">
        <w:rPr>
          <w:sz w:val="32"/>
          <w:szCs w:val="32"/>
        </w:rPr>
        <w:t>ado por el Ministerio de Trabajo y Desarrollo Laboral.</w:t>
      </w:r>
    </w:p>
    <w:p w:rsidR="00BA51A2" w:rsidRDefault="00BA51A2" w:rsidP="00D94FC0">
      <w:pPr>
        <w:jc w:val="both"/>
        <w:rPr>
          <w:sz w:val="32"/>
          <w:szCs w:val="32"/>
        </w:rPr>
      </w:pPr>
    </w:p>
    <w:p w:rsidR="00BA51A2" w:rsidRDefault="00BA51A2" w:rsidP="00E902F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5CF86821">
            <wp:extent cx="4767580" cy="926465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0BF" w:rsidRDefault="007D20BF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Esta </w:t>
      </w:r>
      <w:r w:rsidR="00C66415">
        <w:rPr>
          <w:sz w:val="32"/>
          <w:szCs w:val="32"/>
        </w:rPr>
        <w:t>Mesa Única de Diálogo por Pana</w:t>
      </w:r>
      <w:r>
        <w:rPr>
          <w:sz w:val="32"/>
          <w:szCs w:val="32"/>
        </w:rPr>
        <w:t>má contó con la Iglesia Católica como facilitador y la metodología consistió en debatir cada uno de los temas hasta llegar a consensos o disensos.</w:t>
      </w:r>
    </w:p>
    <w:p w:rsidR="007E29CB" w:rsidRDefault="002974E3" w:rsidP="00D453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Al cabo de</w:t>
      </w:r>
      <w:r w:rsidR="007D20BF">
        <w:rPr>
          <w:sz w:val="32"/>
          <w:szCs w:val="32"/>
        </w:rPr>
        <w:t xml:space="preserve"> </w:t>
      </w:r>
      <w:r>
        <w:rPr>
          <w:sz w:val="32"/>
          <w:szCs w:val="32"/>
        </w:rPr>
        <w:t>casi treinta y dos d</w:t>
      </w:r>
      <w:r w:rsidR="001B0E15">
        <w:rPr>
          <w:sz w:val="32"/>
          <w:szCs w:val="32"/>
        </w:rPr>
        <w:t>ías, hubo acuerdos</w:t>
      </w:r>
      <w:r w:rsidR="00C66415">
        <w:rPr>
          <w:sz w:val="32"/>
          <w:szCs w:val="32"/>
        </w:rPr>
        <w:t xml:space="preserve"> que iban siend</w:t>
      </w:r>
      <w:r w:rsidR="001B0E15">
        <w:rPr>
          <w:sz w:val="32"/>
          <w:szCs w:val="32"/>
        </w:rPr>
        <w:t>o implementados inmediatamente, tales como</w:t>
      </w:r>
      <w:r w:rsidR="00C66415">
        <w:rPr>
          <w:sz w:val="32"/>
          <w:szCs w:val="32"/>
        </w:rPr>
        <w:t xml:space="preserve"> rebaja y congelamiento del precio del combustible,</w:t>
      </w:r>
      <w:r w:rsidR="001B0E15">
        <w:rPr>
          <w:sz w:val="32"/>
          <w:szCs w:val="32"/>
        </w:rPr>
        <w:t xml:space="preserve"> </w:t>
      </w:r>
      <w:r w:rsidR="0015034D">
        <w:rPr>
          <w:sz w:val="32"/>
          <w:szCs w:val="32"/>
        </w:rPr>
        <w:t xml:space="preserve">rebaja y congelamiento de los precios de la canasta básica sin afectar al productor nacional, rebaja y abastecimiento de los medicamentos de la Caja del Seguro </w:t>
      </w:r>
      <w:r w:rsidR="001B0E15">
        <w:rPr>
          <w:sz w:val="32"/>
          <w:szCs w:val="32"/>
        </w:rPr>
        <w:t xml:space="preserve">Social sin riesgos de </w:t>
      </w:r>
    </w:p>
    <w:p w:rsidR="00BF2E94" w:rsidRDefault="001B0E15" w:rsidP="00D453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privatización</w:t>
      </w:r>
      <w:r w:rsidR="0015034D">
        <w:rPr>
          <w:sz w:val="32"/>
          <w:szCs w:val="32"/>
        </w:rPr>
        <w:t xml:space="preserve"> y el cumplimiento de la Ley que autorizaba el 6% del</w:t>
      </w:r>
      <w:r w:rsidR="00BF2E94">
        <w:rPr>
          <w:sz w:val="32"/>
          <w:szCs w:val="32"/>
        </w:rPr>
        <w:t xml:space="preserve"> PIB para el sector educativo.</w:t>
      </w:r>
    </w:p>
    <w:p w:rsidR="00D453E8" w:rsidRDefault="00D453E8" w:rsidP="00D453E8">
      <w:pPr>
        <w:spacing w:after="0"/>
        <w:jc w:val="both"/>
        <w:rPr>
          <w:sz w:val="32"/>
          <w:szCs w:val="32"/>
        </w:rPr>
      </w:pPr>
    </w:p>
    <w:p w:rsidR="001B0E15" w:rsidRDefault="001B0E15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Quedaron pendientes para una segunda etapa de diálogo, en donde participarían otros actores del sector productivo y de la sociedad, los siguientes temas: rebaja de los costos de la energía eléctrica, revisión del déficit por el que atraviesa la Caja del Seguro Social en el programa de IVM, la transparencia del sector público y la conformación de una mesa interinstitucional de seguimiento a todo lo acordado.</w:t>
      </w:r>
    </w:p>
    <w:p w:rsidR="007E29CB" w:rsidRDefault="007E29CB" w:rsidP="007E29CB">
      <w:pPr>
        <w:jc w:val="both"/>
        <w:rPr>
          <w:sz w:val="32"/>
          <w:szCs w:val="32"/>
        </w:rPr>
      </w:pPr>
      <w:r>
        <w:rPr>
          <w:sz w:val="32"/>
          <w:szCs w:val="32"/>
        </w:rPr>
        <w:t>APRENDIZAJES Y DESAFÍOS</w:t>
      </w:r>
    </w:p>
    <w:p w:rsidR="00BB39BA" w:rsidRDefault="00F009EE" w:rsidP="007E29CB">
      <w:pPr>
        <w:jc w:val="both"/>
        <w:rPr>
          <w:sz w:val="32"/>
          <w:szCs w:val="32"/>
        </w:rPr>
      </w:pPr>
      <w:r>
        <w:rPr>
          <w:sz w:val="32"/>
          <w:szCs w:val="32"/>
        </w:rPr>
        <w:t>Esta</w:t>
      </w:r>
      <w:r w:rsidR="00C10686">
        <w:rPr>
          <w:sz w:val="32"/>
          <w:szCs w:val="32"/>
        </w:rPr>
        <w:t>s</w:t>
      </w:r>
      <w:r>
        <w:rPr>
          <w:sz w:val="32"/>
          <w:szCs w:val="32"/>
        </w:rPr>
        <w:t xml:space="preserve"> experiencia</w:t>
      </w:r>
      <w:r w:rsidR="00C10686">
        <w:rPr>
          <w:sz w:val="32"/>
          <w:szCs w:val="32"/>
        </w:rPr>
        <w:t xml:space="preserve">s, a las que debo añadirle la reciente entrega de un informe sobre de valuación actuarial del sistema </w:t>
      </w:r>
    </w:p>
    <w:p w:rsidR="00BA51A2" w:rsidRDefault="00C10686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panameño de pensiones por parte de la Oficina de OIT para América Central, Haití, República Dominicana y Panamá, en colaboración con la Unidad de Finanzas Púbicas, Actuaria y Estadísticas del Departamento de Protección Social de la OIT, </w:t>
      </w:r>
    </w:p>
    <w:p w:rsidR="00BA51A2" w:rsidRDefault="00BA51A2" w:rsidP="00D94FC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PA"/>
        </w:rPr>
        <w:lastRenderedPageBreak/>
        <w:drawing>
          <wp:inline distT="0" distB="0" distL="0" distR="0" wp14:anchorId="601B3EC4">
            <wp:extent cx="4767580" cy="926465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E15" w:rsidRDefault="00C10686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>Ginebra, constituyen acciones llevadas a cabo por Pana</w:t>
      </w:r>
      <w:r w:rsidR="002A6EF1">
        <w:rPr>
          <w:sz w:val="32"/>
          <w:szCs w:val="32"/>
        </w:rPr>
        <w:t>má mediante mecanismos de diálogo social.</w:t>
      </w:r>
    </w:p>
    <w:p w:rsidR="002A6EF1" w:rsidRDefault="002A6EF1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Para finalizar, solo quisiera mencionar que en consideración a que el 58.9% de los trabajadores informales </w:t>
      </w:r>
      <w:r w:rsidR="006819E7">
        <w:rPr>
          <w:sz w:val="32"/>
          <w:szCs w:val="32"/>
        </w:rPr>
        <w:t xml:space="preserve">en Panamá </w:t>
      </w:r>
      <w:r>
        <w:rPr>
          <w:sz w:val="32"/>
          <w:szCs w:val="32"/>
        </w:rPr>
        <w:t xml:space="preserve">se dedican a actividades por cuenta propia (TPCP), nos encontramos trabajando interinstitucionalmente para llevarlos a la formalidad de manera gradual. También estamos adoptando </w:t>
      </w:r>
      <w:r w:rsidR="00564301">
        <w:rPr>
          <w:sz w:val="32"/>
          <w:szCs w:val="32"/>
        </w:rPr>
        <w:t>nuevos procedimientos digitales, para reducir trámites burocráticos que producen desconfianza al contribuyente, estamos implementando un Sistema de Información del Mercado Laboral para contar con datos oportunos y confiables que agilicen la toma de decisiones y</w:t>
      </w:r>
      <w:r w:rsidR="006819E7">
        <w:rPr>
          <w:sz w:val="32"/>
          <w:szCs w:val="32"/>
        </w:rPr>
        <w:t xml:space="preserve"> hemos concluido un proyecto de Ley de Formación Dual que ayudará a la inserción laboral de los jóvenes que estudian,</w:t>
      </w:r>
      <w:r w:rsidR="00564301">
        <w:rPr>
          <w:sz w:val="32"/>
          <w:szCs w:val="32"/>
        </w:rPr>
        <w:t xml:space="preserve"> dentro de una larga lista de iniciativas para mejorar la productividad </w:t>
      </w:r>
      <w:r w:rsidR="006819E7">
        <w:rPr>
          <w:sz w:val="32"/>
          <w:szCs w:val="32"/>
        </w:rPr>
        <w:t xml:space="preserve">y </w:t>
      </w:r>
      <w:r w:rsidR="00564301">
        <w:rPr>
          <w:sz w:val="32"/>
          <w:szCs w:val="32"/>
        </w:rPr>
        <w:t>agilizar la transición a la formalización laboral.</w:t>
      </w:r>
    </w:p>
    <w:p w:rsidR="001B0E15" w:rsidRDefault="002A6EF1" w:rsidP="002A6EF1">
      <w:pPr>
        <w:tabs>
          <w:tab w:val="left" w:pos="547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D20BF" w:rsidRPr="00B825AA" w:rsidRDefault="0015034D" w:rsidP="00D94F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60A1">
        <w:rPr>
          <w:sz w:val="32"/>
          <w:szCs w:val="32"/>
        </w:rPr>
        <w:t>……………………………………………………………………..</w:t>
      </w:r>
    </w:p>
    <w:p w:rsidR="00A94F0F" w:rsidRDefault="00A94F0F" w:rsidP="00D94FC0">
      <w:pPr>
        <w:jc w:val="both"/>
        <w:rPr>
          <w:sz w:val="32"/>
          <w:szCs w:val="32"/>
          <w:lang w:val="es-MX"/>
        </w:rPr>
      </w:pPr>
    </w:p>
    <w:p w:rsidR="00BB39BA" w:rsidRDefault="00BB39BA" w:rsidP="00D94FC0">
      <w:pPr>
        <w:jc w:val="both"/>
        <w:rPr>
          <w:sz w:val="32"/>
          <w:szCs w:val="32"/>
          <w:lang w:val="es-MX"/>
        </w:rPr>
      </w:pPr>
    </w:p>
    <w:p w:rsidR="00BB39BA" w:rsidRPr="00BF2E94" w:rsidRDefault="00BB39BA" w:rsidP="00D94FC0">
      <w:pPr>
        <w:jc w:val="both"/>
        <w:rPr>
          <w:sz w:val="32"/>
          <w:szCs w:val="32"/>
          <w:lang w:val="es-MX"/>
        </w:rPr>
      </w:pPr>
      <w:bookmarkStart w:id="0" w:name="_GoBack"/>
      <w:bookmarkEnd w:id="0"/>
    </w:p>
    <w:p w:rsidR="008D1E34" w:rsidRPr="008D1E34" w:rsidRDefault="008D1E34">
      <w:pPr>
        <w:rPr>
          <w:lang w:val="es-MX"/>
        </w:rPr>
      </w:pPr>
    </w:p>
    <w:sectPr w:rsidR="008D1E34" w:rsidRPr="008D1E34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3E" w:rsidRDefault="00844E3E" w:rsidP="008D1E34">
      <w:pPr>
        <w:spacing w:after="0" w:line="240" w:lineRule="auto"/>
      </w:pPr>
      <w:r>
        <w:separator/>
      </w:r>
    </w:p>
  </w:endnote>
  <w:endnote w:type="continuationSeparator" w:id="0">
    <w:p w:rsidR="00844E3E" w:rsidRDefault="00844E3E" w:rsidP="008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91209"/>
      <w:docPartObj>
        <w:docPartGallery w:val="Page Numbers (Bottom of Page)"/>
        <w:docPartUnique/>
      </w:docPartObj>
    </w:sdtPr>
    <w:sdtEndPr/>
    <w:sdtContent>
      <w:p w:rsidR="004760A1" w:rsidRDefault="004760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C5" w:rsidRPr="00BC40C5">
          <w:rPr>
            <w:noProof/>
            <w:lang w:val="es-ES"/>
          </w:rPr>
          <w:t>8</w:t>
        </w:r>
        <w:r>
          <w:fldChar w:fldCharType="end"/>
        </w:r>
      </w:p>
    </w:sdtContent>
  </w:sdt>
  <w:p w:rsidR="004760A1" w:rsidRDefault="00476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3E" w:rsidRDefault="00844E3E" w:rsidP="008D1E34">
      <w:pPr>
        <w:spacing w:after="0" w:line="240" w:lineRule="auto"/>
      </w:pPr>
      <w:r>
        <w:separator/>
      </w:r>
    </w:p>
  </w:footnote>
  <w:footnote w:type="continuationSeparator" w:id="0">
    <w:p w:rsidR="00844E3E" w:rsidRDefault="00844E3E" w:rsidP="008D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494"/>
    <w:multiLevelType w:val="hybridMultilevel"/>
    <w:tmpl w:val="434E52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34"/>
    <w:rsid w:val="000702B5"/>
    <w:rsid w:val="000A30D3"/>
    <w:rsid w:val="0015034D"/>
    <w:rsid w:val="001576FE"/>
    <w:rsid w:val="001B0E15"/>
    <w:rsid w:val="001D562F"/>
    <w:rsid w:val="002974E3"/>
    <w:rsid w:val="002A6EF1"/>
    <w:rsid w:val="002B40C6"/>
    <w:rsid w:val="002F7BD0"/>
    <w:rsid w:val="003D68C2"/>
    <w:rsid w:val="00422487"/>
    <w:rsid w:val="004760A1"/>
    <w:rsid w:val="004B2F9B"/>
    <w:rsid w:val="005226B0"/>
    <w:rsid w:val="005633DF"/>
    <w:rsid w:val="00564301"/>
    <w:rsid w:val="00623FA5"/>
    <w:rsid w:val="006819E7"/>
    <w:rsid w:val="006D43B1"/>
    <w:rsid w:val="00765F81"/>
    <w:rsid w:val="00773BB6"/>
    <w:rsid w:val="007D20BF"/>
    <w:rsid w:val="007E29CB"/>
    <w:rsid w:val="007F7656"/>
    <w:rsid w:val="008224F2"/>
    <w:rsid w:val="0084274C"/>
    <w:rsid w:val="00844E3E"/>
    <w:rsid w:val="008A1AE8"/>
    <w:rsid w:val="008D1E34"/>
    <w:rsid w:val="009125A8"/>
    <w:rsid w:val="00A00486"/>
    <w:rsid w:val="00A4065D"/>
    <w:rsid w:val="00A83F6F"/>
    <w:rsid w:val="00A94F0F"/>
    <w:rsid w:val="00A955FC"/>
    <w:rsid w:val="00AD3A1C"/>
    <w:rsid w:val="00AE74F9"/>
    <w:rsid w:val="00AF6FEE"/>
    <w:rsid w:val="00B825AA"/>
    <w:rsid w:val="00BA39FD"/>
    <w:rsid w:val="00BA51A2"/>
    <w:rsid w:val="00BB39BA"/>
    <w:rsid w:val="00BC40C5"/>
    <w:rsid w:val="00BD22D3"/>
    <w:rsid w:val="00BF2E94"/>
    <w:rsid w:val="00C10686"/>
    <w:rsid w:val="00C40CA5"/>
    <w:rsid w:val="00C66415"/>
    <w:rsid w:val="00C749A3"/>
    <w:rsid w:val="00CE6F97"/>
    <w:rsid w:val="00D453E8"/>
    <w:rsid w:val="00D71EDF"/>
    <w:rsid w:val="00D93A96"/>
    <w:rsid w:val="00D94FC0"/>
    <w:rsid w:val="00E250EF"/>
    <w:rsid w:val="00E328BF"/>
    <w:rsid w:val="00E813E2"/>
    <w:rsid w:val="00E902FE"/>
    <w:rsid w:val="00E95E6D"/>
    <w:rsid w:val="00EB285B"/>
    <w:rsid w:val="00F009EE"/>
    <w:rsid w:val="00F0529C"/>
    <w:rsid w:val="00F16421"/>
    <w:rsid w:val="00F255DE"/>
    <w:rsid w:val="00F57ECB"/>
    <w:rsid w:val="00FB2C35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E53C5-9A7A-4359-B357-8A51638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34"/>
  </w:style>
  <w:style w:type="paragraph" w:styleId="Piedepgina">
    <w:name w:val="footer"/>
    <w:basedOn w:val="Normal"/>
    <w:link w:val="PiedepginaCar"/>
    <w:uiPriority w:val="99"/>
    <w:unhideWhenUsed/>
    <w:rsid w:val="008D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34"/>
  </w:style>
  <w:style w:type="paragraph" w:styleId="Prrafodelista">
    <w:name w:val="List Paragraph"/>
    <w:basedOn w:val="Normal"/>
    <w:uiPriority w:val="34"/>
    <w:qFormat/>
    <w:rsid w:val="00A94F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1CE1-4866-4A55-8038-53E08995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MV. Veliz</dc:creator>
  <cp:keywords/>
  <dc:description/>
  <cp:lastModifiedBy>Moises MV. Veliz</cp:lastModifiedBy>
  <cp:revision>2</cp:revision>
  <cp:lastPrinted>2022-10-18T21:26:00Z</cp:lastPrinted>
  <dcterms:created xsi:type="dcterms:W3CDTF">2022-10-19T06:17:00Z</dcterms:created>
  <dcterms:modified xsi:type="dcterms:W3CDTF">2022-10-19T06:17:00Z</dcterms:modified>
</cp:coreProperties>
</file>